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1"/>
          <w:rFonts w:hint="eastAsia" w:ascii="仿宋" w:hAnsi="仿宋" w:eastAsia="仿宋"/>
          <w:b/>
          <w:color w:val="000000"/>
          <w:kern w:val="0"/>
          <w:sz w:val="24"/>
          <w:szCs w:val="24"/>
        </w:rPr>
      </w:pPr>
      <w:r>
        <w:rPr>
          <w:rStyle w:val="11"/>
          <w:b/>
          <w:sz w:val="28"/>
          <w:szCs w:val="28"/>
        </w:rPr>
        <w:t>附件1:</w:t>
      </w:r>
      <w:r>
        <w:rPr>
          <w:rStyle w:val="11"/>
          <w:rFonts w:ascii="仿宋" w:hAnsi="仿宋" w:eastAsia="仿宋"/>
          <w:b/>
          <w:color w:val="000000"/>
          <w:kern w:val="0"/>
          <w:sz w:val="24"/>
          <w:szCs w:val="24"/>
        </w:rPr>
        <w:t xml:space="preserve"> </w:t>
      </w:r>
      <w:r>
        <w:rPr>
          <w:rStyle w:val="11"/>
          <w:rFonts w:hint="eastAsia" w:ascii="仿宋" w:hAnsi="仿宋" w:eastAsia="仿宋"/>
          <w:b/>
          <w:color w:val="000000"/>
          <w:kern w:val="0"/>
          <w:sz w:val="24"/>
          <w:szCs w:val="24"/>
        </w:rPr>
        <w:t>全国高等职业院校创新创业教育联盟2023年年会论文格式模版</w:t>
      </w:r>
    </w:p>
    <w:p>
      <w:pPr>
        <w:rPr>
          <w:rStyle w:val="11"/>
          <w:rFonts w:hint="eastAsia" w:ascii="仿宋" w:hAnsi="仿宋" w:eastAsia="仿宋"/>
          <w:b/>
          <w:color w:val="000000"/>
          <w:kern w:val="0"/>
          <w:sz w:val="24"/>
          <w:szCs w:val="24"/>
        </w:rPr>
      </w:pPr>
    </w:p>
    <w:p>
      <w:pPr>
        <w:pStyle w:val="3"/>
        <w:spacing w:before="133" w:line="207" w:lineRule="auto"/>
        <w:ind w:left="1455"/>
        <w:rPr>
          <w:rFonts w:hint="eastAsia" w:ascii="黑体" w:hAnsi="黑体" w:eastAsia="黑体" w:cs="黑体"/>
          <w:sz w:val="32"/>
          <w:szCs w:val="32"/>
        </w:rPr>
      </w:pPr>
      <w:r>
        <w:rPr>
          <w:rFonts w:hint="eastAsia" w:ascii="黑体" w:hAnsi="黑体" w:eastAsia="黑体" w:cs="黑体"/>
          <w:spacing w:val="9"/>
          <w:sz w:val="32"/>
          <w:szCs w:val="32"/>
        </w:rPr>
        <w:t>职业本科教育相关争议与基本问题探析</w:t>
      </w:r>
    </w:p>
    <w:p>
      <w:pPr>
        <w:spacing w:before="223" w:line="213" w:lineRule="auto"/>
        <w:ind w:left="3784"/>
        <w:rPr>
          <w:rFonts w:ascii="华文楷体" w:hAnsi="华文楷体" w:eastAsia="华文楷体" w:cs="华文楷体"/>
          <w:sz w:val="13"/>
          <w:szCs w:val="13"/>
        </w:rPr>
      </w:pPr>
      <w:r>
        <w:rPr>
          <w:rFonts w:hint="eastAsia" w:ascii="华文楷体" w:hAnsi="华文楷体" w:eastAsia="华文楷体" w:cs="华文楷体"/>
          <w:spacing w:val="-5"/>
          <w:position w:val="-1"/>
          <w:sz w:val="24"/>
          <w:szCs w:val="24"/>
          <w:lang w:val="en-US" w:eastAsia="zh-CN"/>
        </w:rPr>
        <w:t>李四</w:t>
      </w:r>
      <w:r>
        <w:rPr>
          <w:rFonts w:ascii="华文楷体" w:hAnsi="华文楷体" w:eastAsia="华文楷体" w:cs="华文楷体"/>
          <w:spacing w:val="-5"/>
          <w:position w:val="8"/>
          <w:sz w:val="13"/>
          <w:szCs w:val="13"/>
        </w:rPr>
        <w:t>1   ，2</w:t>
      </w:r>
    </w:p>
    <w:p>
      <w:pPr>
        <w:spacing w:before="300" w:line="204" w:lineRule="auto"/>
        <w:jc w:val="center"/>
        <w:rPr>
          <w:rFonts w:ascii="华文楷体" w:hAnsi="华文楷体" w:eastAsia="华文楷体" w:cs="华文楷体"/>
          <w:sz w:val="24"/>
          <w:szCs w:val="24"/>
        </w:rPr>
      </w:pPr>
      <w:r>
        <w:rPr>
          <w:rFonts w:ascii="华文楷体" w:hAnsi="华文楷体" w:eastAsia="华文楷体" w:cs="华文楷体"/>
          <w:spacing w:val="-3"/>
          <w:sz w:val="24"/>
          <w:szCs w:val="24"/>
        </w:rPr>
        <w:t>（1.</w:t>
      </w:r>
      <w:r>
        <w:rPr>
          <w:rFonts w:ascii="华文楷体" w:hAnsi="华文楷体" w:eastAsia="华文楷体" w:cs="华文楷体"/>
          <w:spacing w:val="19"/>
          <w:sz w:val="24"/>
          <w:szCs w:val="24"/>
        </w:rPr>
        <w:t xml:space="preserve"> </w:t>
      </w:r>
      <w:r>
        <w:rPr>
          <w:rFonts w:ascii="华文楷体" w:hAnsi="华文楷体" w:eastAsia="华文楷体" w:cs="华文楷体"/>
          <w:spacing w:val="-2"/>
          <w:sz w:val="24"/>
          <w:szCs w:val="24"/>
        </w:rPr>
        <w:t>南京工业职业技术大学</w:t>
      </w:r>
      <w:r>
        <w:rPr>
          <w:rFonts w:hint="eastAsia" w:ascii="华文楷体" w:hAnsi="华文楷体" w:eastAsia="华文楷体" w:cs="华文楷体"/>
          <w:spacing w:val="-2"/>
          <w:sz w:val="24"/>
          <w:szCs w:val="24"/>
          <w:lang w:val="en-US" w:eastAsia="zh-CN"/>
        </w:rPr>
        <w:t xml:space="preserve">  </w:t>
      </w:r>
      <w:r>
        <w:rPr>
          <w:rFonts w:ascii="华文楷体" w:hAnsi="华文楷体" w:eastAsia="华文楷体" w:cs="华文楷体"/>
          <w:spacing w:val="-2"/>
          <w:sz w:val="24"/>
          <w:szCs w:val="24"/>
        </w:rPr>
        <w:t>公共基础课部</w:t>
      </w:r>
      <w:r>
        <w:rPr>
          <w:rFonts w:ascii="华文楷体" w:hAnsi="华文楷体" w:eastAsia="华文楷体" w:cs="华文楷体"/>
          <w:spacing w:val="-3"/>
          <w:sz w:val="24"/>
          <w:szCs w:val="24"/>
        </w:rPr>
        <w:t>，江苏</w:t>
      </w:r>
      <w:r>
        <w:rPr>
          <w:rFonts w:hint="eastAsia" w:ascii="华文楷体" w:hAnsi="华文楷体" w:eastAsia="华文楷体" w:cs="华文楷体"/>
          <w:spacing w:val="-3"/>
          <w:sz w:val="24"/>
          <w:szCs w:val="24"/>
          <w:lang w:val="en-US" w:eastAsia="zh-CN"/>
        </w:rPr>
        <w:t xml:space="preserve">  </w:t>
      </w:r>
      <w:r>
        <w:rPr>
          <w:rFonts w:ascii="华文楷体" w:hAnsi="华文楷体" w:eastAsia="华文楷体" w:cs="华文楷体"/>
          <w:spacing w:val="-3"/>
          <w:sz w:val="24"/>
          <w:szCs w:val="24"/>
        </w:rPr>
        <w:t>南京</w:t>
      </w:r>
      <w:r>
        <w:rPr>
          <w:rFonts w:hint="eastAsia" w:ascii="华文楷体" w:hAnsi="华文楷体" w:eastAsia="华文楷体" w:cs="华文楷体"/>
          <w:spacing w:val="-3"/>
          <w:sz w:val="24"/>
          <w:szCs w:val="24"/>
          <w:lang w:val="en-US" w:eastAsia="zh-CN"/>
        </w:rPr>
        <w:t xml:space="preserve">  </w:t>
      </w:r>
      <w:r>
        <w:rPr>
          <w:rFonts w:ascii="华文楷体" w:hAnsi="华文楷体" w:eastAsia="华文楷体" w:cs="华文楷体"/>
          <w:spacing w:val="-3"/>
          <w:sz w:val="24"/>
          <w:szCs w:val="24"/>
        </w:rPr>
        <w:t>2</w:t>
      </w:r>
      <w:r>
        <w:rPr>
          <w:rFonts w:ascii="华文楷体" w:hAnsi="华文楷体" w:eastAsia="华文楷体" w:cs="华文楷体"/>
          <w:spacing w:val="-4"/>
          <w:sz w:val="24"/>
          <w:szCs w:val="24"/>
        </w:rPr>
        <w:t>10023；</w:t>
      </w:r>
    </w:p>
    <w:p>
      <w:pPr>
        <w:spacing w:before="163" w:line="205" w:lineRule="auto"/>
        <w:ind w:firstLine="3776" w:firstLineChars="1600"/>
        <w:jc w:val="both"/>
        <w:rPr>
          <w:rFonts w:ascii="华文楷体" w:hAnsi="华文楷体" w:eastAsia="华文楷体" w:cs="华文楷体"/>
          <w:sz w:val="24"/>
          <w:szCs w:val="24"/>
        </w:rPr>
      </w:pPr>
      <w:r>
        <w:rPr>
          <w:rFonts w:ascii="华文楷体" w:hAnsi="华文楷体" w:eastAsia="华文楷体" w:cs="华文楷体"/>
          <w:spacing w:val="-2"/>
          <w:sz w:val="24"/>
          <w:szCs w:val="24"/>
        </w:rPr>
        <w:t>2.</w:t>
      </w:r>
      <w:r>
        <w:rPr>
          <w:rFonts w:ascii="华文楷体" w:hAnsi="华文楷体" w:eastAsia="华文楷体" w:cs="华文楷体"/>
          <w:spacing w:val="18"/>
          <w:w w:val="101"/>
          <w:sz w:val="24"/>
          <w:szCs w:val="24"/>
        </w:rPr>
        <w:t xml:space="preserve"> </w:t>
      </w:r>
      <w:r>
        <w:rPr>
          <w:rFonts w:hint="eastAsia" w:ascii="华文楷体" w:hAnsi="华文楷体" w:eastAsia="华文楷体" w:cs="华文楷体"/>
          <w:spacing w:val="18"/>
          <w:w w:val="101"/>
          <w:sz w:val="24"/>
          <w:szCs w:val="24"/>
          <w:lang w:val="en-US" w:eastAsia="zh-CN"/>
        </w:rPr>
        <w:t xml:space="preserve">  </w:t>
      </w:r>
      <w:r>
        <w:rPr>
          <w:rFonts w:ascii="华文楷体" w:hAnsi="华文楷体" w:eastAsia="华文楷体" w:cs="华文楷体"/>
          <w:spacing w:val="18"/>
          <w:w w:val="101"/>
          <w:sz w:val="24"/>
          <w:szCs w:val="24"/>
        </w:rPr>
        <w:t xml:space="preserve"> </w:t>
      </w:r>
      <w:r>
        <w:rPr>
          <w:rFonts w:ascii="华文楷体" w:hAnsi="华文楷体" w:eastAsia="华文楷体" w:cs="华文楷体"/>
          <w:spacing w:val="-3"/>
          <w:sz w:val="24"/>
          <w:szCs w:val="24"/>
        </w:rPr>
        <w:t>）</w:t>
      </w:r>
    </w:p>
    <w:p>
      <w:pPr>
        <w:spacing w:line="376" w:lineRule="auto"/>
        <w:rPr>
          <w:rFonts w:ascii="Arial"/>
          <w:sz w:val="21"/>
        </w:rPr>
      </w:pPr>
    </w:p>
    <w:p>
      <w:pPr>
        <w:spacing w:before="79" w:line="355" w:lineRule="auto"/>
        <w:ind w:left="27" w:right="461" w:hanging="4"/>
        <w:jc w:val="both"/>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摘要：</w:t>
      </w:r>
      <w:r>
        <w:rPr>
          <w:rFonts w:hint="eastAsia" w:ascii="宋体" w:hAnsi="宋体" w:eastAsia="宋体" w:cs="宋体"/>
          <w:spacing w:val="-4"/>
          <w:sz w:val="24"/>
          <w:szCs w:val="24"/>
        </w:rPr>
        <w:t>职业本科教育是本科层次的职业教育，是职业教育延伸到本科层次的结</w:t>
      </w:r>
      <w:r>
        <w:rPr>
          <w:rFonts w:hint="eastAsia" w:ascii="宋体" w:hAnsi="宋体" w:eastAsia="宋体" w:cs="宋体"/>
          <w:spacing w:val="11"/>
          <w:sz w:val="24"/>
          <w:szCs w:val="24"/>
        </w:rPr>
        <w:t xml:space="preserve"> </w:t>
      </w:r>
      <w:r>
        <w:rPr>
          <w:rFonts w:hint="eastAsia" w:ascii="宋体" w:hAnsi="宋体" w:eastAsia="宋体" w:cs="宋体"/>
          <w:sz w:val="24"/>
          <w:szCs w:val="24"/>
        </w:rPr>
        <w:t>果，是完全按照职业教育人才培养模式举办</w:t>
      </w:r>
      <w:r>
        <w:rPr>
          <w:rFonts w:hint="eastAsia" w:ascii="宋体" w:hAnsi="宋体" w:eastAsia="宋体" w:cs="宋体"/>
          <w:spacing w:val="-1"/>
          <w:sz w:val="24"/>
          <w:szCs w:val="24"/>
        </w:rPr>
        <w:t>的本科教育。把职业教育提升到本</w:t>
      </w:r>
    </w:p>
    <w:p>
      <w:pPr>
        <w:spacing w:before="1" w:line="218" w:lineRule="auto"/>
        <w:ind w:left="23"/>
        <w:rPr>
          <w:rFonts w:hint="eastAsia" w:ascii="宋体" w:hAnsi="宋体" w:eastAsia="宋体" w:cs="宋体"/>
          <w:sz w:val="24"/>
          <w:szCs w:val="24"/>
        </w:rPr>
      </w:pPr>
      <w:r>
        <w:rPr>
          <w:rFonts w:hint="eastAsia" w:ascii="宋体" w:hAnsi="宋体" w:eastAsia="宋体" w:cs="宋体"/>
          <w:spacing w:val="-2"/>
          <w:sz w:val="24"/>
          <w:szCs w:val="24"/>
        </w:rPr>
        <w:t>科教育层次是当前国际职业教育的共同发展趋势。</w:t>
      </w:r>
    </w:p>
    <w:p>
      <w:pPr>
        <w:spacing w:before="173" w:line="219" w:lineRule="auto"/>
        <w:ind w:left="27"/>
        <w:rPr>
          <w:rFonts w:hint="eastAsia" w:ascii="宋体" w:hAnsi="宋体" w:eastAsia="宋体" w:cs="宋体"/>
          <w:sz w:val="24"/>
          <w:szCs w:val="24"/>
        </w:rPr>
      </w:pPr>
      <w:r>
        <w:rPr>
          <w:rFonts w:hint="eastAsia" w:ascii="宋体" w:hAnsi="宋体" w:eastAsia="宋体" w:cs="宋体"/>
          <w:b w:val="0"/>
          <w:bCs w:val="0"/>
          <w:spacing w:val="-1"/>
          <w:sz w:val="24"/>
          <w:szCs w:val="24"/>
          <w14:textOutline w14:w="4354" w14:cap="flat" w14:cmpd="sng">
            <w14:solidFill>
              <w14:srgbClr w14:val="000000"/>
            </w14:solidFill>
            <w14:prstDash w14:val="solid"/>
            <w14:miter w14:val="0"/>
          </w14:textOutline>
        </w:rPr>
        <w:t>关键词</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1"/>
          <w:sz w:val="24"/>
          <w:szCs w:val="24"/>
        </w:rPr>
        <w:t>职业本科教育；问题探析；文献综述</w:t>
      </w:r>
    </w:p>
    <w:p>
      <w:pPr>
        <w:spacing w:line="309" w:lineRule="auto"/>
        <w:rPr>
          <w:rFonts w:ascii="Arial"/>
          <w:sz w:val="21"/>
        </w:rPr>
      </w:pPr>
    </w:p>
    <w:p>
      <w:pPr>
        <w:spacing w:before="82" w:line="187" w:lineRule="auto"/>
        <w:ind w:left="365"/>
        <w:rPr>
          <w:rFonts w:ascii="Times New Roman" w:hAnsi="Times New Roman" w:eastAsia="Times New Roman" w:cs="Times New Roman"/>
          <w:sz w:val="28"/>
          <w:szCs w:val="28"/>
        </w:rPr>
      </w:pPr>
      <w:r>
        <w:rPr>
          <w:rFonts w:ascii="Times New Roman" w:hAnsi="Times New Roman" w:eastAsia="Times New Roman" w:cs="Times New Roman"/>
          <w:b/>
          <w:bCs/>
          <w:sz w:val="27"/>
          <w:szCs w:val="27"/>
        </w:rPr>
        <w:t>Exploration</w:t>
      </w:r>
      <w:r>
        <w:rPr>
          <w:rFonts w:ascii="Times New Roman" w:hAnsi="Times New Roman" w:eastAsia="Times New Roman" w:cs="Times New Roman"/>
          <w:b/>
          <w:bCs/>
          <w:spacing w:val="1"/>
          <w:sz w:val="27"/>
          <w:szCs w:val="27"/>
        </w:rPr>
        <w:t xml:space="preserve"> </w:t>
      </w:r>
      <w:r>
        <w:rPr>
          <w:rFonts w:ascii="Times New Roman" w:hAnsi="Times New Roman" w:eastAsia="Times New Roman" w:cs="Times New Roman"/>
          <w:b/>
          <w:bCs/>
          <w:sz w:val="27"/>
          <w:szCs w:val="27"/>
        </w:rPr>
        <w:t>and</w:t>
      </w:r>
      <w:r>
        <w:rPr>
          <w:rFonts w:ascii="Times New Roman" w:hAnsi="Times New Roman" w:eastAsia="Times New Roman" w:cs="Times New Roman"/>
          <w:b/>
          <w:bCs/>
          <w:spacing w:val="1"/>
          <w:sz w:val="27"/>
          <w:szCs w:val="27"/>
        </w:rPr>
        <w:t xml:space="preserve"> </w:t>
      </w:r>
      <w:r>
        <w:rPr>
          <w:rFonts w:ascii="Times New Roman" w:hAnsi="Times New Roman" w:eastAsia="Times New Roman" w:cs="Times New Roman"/>
          <w:b/>
          <w:bCs/>
          <w:sz w:val="27"/>
          <w:szCs w:val="27"/>
        </w:rPr>
        <w:t>Analysis</w:t>
      </w:r>
      <w:r>
        <w:rPr>
          <w:rFonts w:ascii="Times New Roman" w:hAnsi="Times New Roman" w:eastAsia="Times New Roman" w:cs="Times New Roman"/>
          <w:b/>
          <w:bCs/>
          <w:spacing w:val="1"/>
          <w:sz w:val="27"/>
          <w:szCs w:val="27"/>
        </w:rPr>
        <w:t xml:space="preserve"> </w:t>
      </w:r>
      <w:r>
        <w:rPr>
          <w:rFonts w:ascii="Times New Roman" w:hAnsi="Times New Roman" w:eastAsia="Times New Roman" w:cs="Times New Roman"/>
          <w:b/>
          <w:bCs/>
          <w:sz w:val="27"/>
          <w:szCs w:val="27"/>
        </w:rPr>
        <w:t>of</w:t>
      </w:r>
      <w:r>
        <w:rPr>
          <w:rFonts w:ascii="Times New Roman" w:hAnsi="Times New Roman" w:eastAsia="Times New Roman" w:cs="Times New Roman"/>
          <w:b/>
          <w:bCs/>
          <w:spacing w:val="-10"/>
          <w:sz w:val="27"/>
          <w:szCs w:val="27"/>
        </w:rPr>
        <w:t xml:space="preserve"> </w:t>
      </w:r>
      <w:r>
        <w:rPr>
          <w:rFonts w:ascii="Times New Roman" w:hAnsi="Times New Roman" w:eastAsia="Times New Roman" w:cs="Times New Roman"/>
          <w:b/>
          <w:bCs/>
          <w:sz w:val="27"/>
          <w:szCs w:val="27"/>
        </w:rPr>
        <w:t>R</w:t>
      </w:r>
      <w:r>
        <w:rPr>
          <w:rFonts w:ascii="Times New Roman" w:hAnsi="Times New Roman" w:eastAsia="Times New Roman" w:cs="Times New Roman"/>
          <w:b/>
          <w:bCs/>
          <w:sz w:val="28"/>
          <w:szCs w:val="28"/>
        </w:rPr>
        <w:t>elated</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Disputes</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and</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Basic</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Issues</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in</w:t>
      </w:r>
    </w:p>
    <w:p>
      <w:pPr>
        <w:spacing w:line="290" w:lineRule="auto"/>
        <w:rPr>
          <w:rFonts w:ascii="Arial"/>
          <w:sz w:val="21"/>
        </w:rPr>
      </w:pPr>
      <w:r>
        <mc:AlternateContent>
          <mc:Choice Requires="wpg">
            <w:drawing>
              <wp:anchor distT="0" distB="0" distL="114300" distR="114300" simplePos="0" relativeHeight="251661312" behindDoc="0" locked="0" layoutInCell="1" allowOverlap="1">
                <wp:simplePos x="0" y="0"/>
                <wp:positionH relativeFrom="column">
                  <wp:posOffset>4466590</wp:posOffset>
                </wp:positionH>
                <wp:positionV relativeFrom="paragraph">
                  <wp:posOffset>135255</wp:posOffset>
                </wp:positionV>
                <wp:extent cx="1174750" cy="724535"/>
                <wp:effectExtent l="19685" t="0" r="24765" b="24765"/>
                <wp:wrapNone/>
                <wp:docPr id="31" name="组合 31"/>
                <wp:cNvGraphicFramePr/>
                <a:graphic xmlns:a="http://schemas.openxmlformats.org/drawingml/2006/main">
                  <a:graphicData uri="http://schemas.microsoft.com/office/word/2010/wordprocessingGroup">
                    <wpg:wgp>
                      <wpg:cNvGrpSpPr/>
                      <wpg:grpSpPr>
                        <a:xfrm>
                          <a:off x="0" y="0"/>
                          <a:ext cx="1174750" cy="724535"/>
                          <a:chOff x="0" y="0"/>
                          <a:chExt cx="1850" cy="1140"/>
                        </a:xfrm>
                      </wpg:grpSpPr>
                      <wpg:grpSp>
                        <wpg:cNvPr id="32" name="组合 28"/>
                        <wpg:cNvGrpSpPr/>
                        <wpg:grpSpPr>
                          <a:xfrm>
                            <a:off x="9" y="10"/>
                            <a:ext cx="1831" cy="1130"/>
                            <a:chOff x="0" y="0"/>
                            <a:chExt cx="1831" cy="1130"/>
                          </a:xfrm>
                        </wpg:grpSpPr>
                        <wps:wsp>
                          <wps:cNvPr id="33" name="任意多边形 26"/>
                          <wps:cNvSpPr/>
                          <wps:spPr>
                            <a:xfrm>
                              <a:off x="0" y="0"/>
                              <a:ext cx="1830" cy="1120"/>
                            </a:xfrm>
                            <a:custGeom>
                              <a:avLst/>
                              <a:gdLst/>
                              <a:ahLst/>
                              <a:cxnLst/>
                              <a:pathLst>
                                <a:path w="1830" h="1120">
                                  <a:moveTo>
                                    <a:pt x="0" y="0"/>
                                  </a:moveTo>
                                  <a:lnTo>
                                    <a:pt x="305" y="0"/>
                                  </a:lnTo>
                                  <a:lnTo>
                                    <a:pt x="305" y="0"/>
                                  </a:lnTo>
                                  <a:lnTo>
                                    <a:pt x="762" y="0"/>
                                  </a:lnTo>
                                  <a:lnTo>
                                    <a:pt x="1830" y="0"/>
                                  </a:lnTo>
                                  <a:lnTo>
                                    <a:pt x="1830" y="507"/>
                                  </a:lnTo>
                                  <a:lnTo>
                                    <a:pt x="1830" y="507"/>
                                  </a:lnTo>
                                  <a:lnTo>
                                    <a:pt x="1830" y="724"/>
                                  </a:lnTo>
                                  <a:lnTo>
                                    <a:pt x="1830" y="870"/>
                                  </a:lnTo>
                                  <a:lnTo>
                                    <a:pt x="762" y="870"/>
                                  </a:lnTo>
                                  <a:lnTo>
                                    <a:pt x="5" y="1120"/>
                                  </a:lnTo>
                                  <a:lnTo>
                                    <a:pt x="305" y="870"/>
                                  </a:lnTo>
                                  <a:lnTo>
                                    <a:pt x="0" y="870"/>
                                  </a:lnTo>
                                  <a:lnTo>
                                    <a:pt x="0" y="724"/>
                                  </a:lnTo>
                                  <a:lnTo>
                                    <a:pt x="0" y="507"/>
                                  </a:lnTo>
                                  <a:lnTo>
                                    <a:pt x="0" y="507"/>
                                  </a:lnTo>
                                  <a:lnTo>
                                    <a:pt x="0" y="0"/>
                                  </a:lnTo>
                                  <a:close/>
                                </a:path>
                              </a:pathLst>
                            </a:custGeom>
                            <a:solidFill>
                              <a:srgbClr val="FFFFFF"/>
                            </a:solidFill>
                            <a:ln>
                              <a:noFill/>
                            </a:ln>
                          </wps:spPr>
                          <wps:bodyPr upright="1"/>
                        </wps:wsp>
                        <wps:wsp>
                          <wps:cNvPr id="34" name="任意多边形 27"/>
                          <wps:cNvSpPr/>
                          <wps:spPr>
                            <a:xfrm>
                              <a:off x="0" y="860"/>
                              <a:ext cx="766" cy="270"/>
                            </a:xfrm>
                            <a:custGeom>
                              <a:avLst/>
                              <a:gdLst/>
                              <a:ahLst/>
                              <a:cxnLst/>
                              <a:pathLst>
                                <a:path w="766" h="270">
                                  <a:moveTo>
                                    <a:pt x="763" y="9"/>
                                  </a:moveTo>
                                  <a:lnTo>
                                    <a:pt x="6" y="260"/>
                                  </a:lnTo>
                                  <a:lnTo>
                                    <a:pt x="305" y="9"/>
                                  </a:lnTo>
                                </a:path>
                              </a:pathLst>
                            </a:custGeom>
                            <a:noFill/>
                            <a:ln w="12700" cap="flat" cmpd="sng">
                              <a:solidFill>
                                <a:srgbClr val="4472C4"/>
                              </a:solidFill>
                              <a:prstDash val="solid"/>
                              <a:miter lim="1000000"/>
                              <a:headEnd type="none" w="med" len="med"/>
                              <a:tailEnd type="none" w="med" len="med"/>
                            </a:ln>
                          </wps:spPr>
                          <wps:bodyPr upright="1"/>
                        </wps:wsp>
                      </wpg:grpSp>
                      <wps:wsp>
                        <wps:cNvPr id="35" name="文本框 29"/>
                        <wps:cNvSpPr txBox="1"/>
                        <wps:spPr>
                          <a:xfrm>
                            <a:off x="-20" y="-20"/>
                            <a:ext cx="1890" cy="930"/>
                          </a:xfrm>
                          <a:prstGeom prst="rect">
                            <a:avLst/>
                          </a:prstGeom>
                          <a:noFill/>
                          <a:ln>
                            <a:noFill/>
                          </a:ln>
                        </wps:spPr>
                        <wps:txbx>
                          <w:txbxContent>
                            <w:p>
                              <w:pPr>
                                <w:spacing w:line="20" w:lineRule="exact"/>
                              </w:pPr>
                            </w:p>
                            <w:tbl>
                              <w:tblPr>
                                <w:tblStyle w:val="35"/>
                                <w:tblW w:w="183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183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850" w:hRule="atLeast"/>
                                </w:trPr>
                                <w:tc>
                                  <w:tcPr>
                                    <w:tcW w:w="1830" w:type="dxa"/>
                                    <w:vAlign w:val="top"/>
                                  </w:tcPr>
                                  <w:p>
                                    <w:pPr>
                                      <w:spacing w:before="151" w:line="206" w:lineRule="auto"/>
                                      <w:ind w:left="283" w:right="167" w:hanging="8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英文中无需加</w:t>
                                    </w:r>
                                  </w:p>
                                  <w:p>
                                    <w:pPr>
                                      <w:spacing w:before="151" w:line="206" w:lineRule="auto"/>
                                      <w:ind w:left="283" w:right="167" w:hanging="89"/>
                                      <w:rPr>
                                        <w:rFonts w:ascii="微软雅黑" w:hAnsi="微软雅黑" w:eastAsia="微软雅黑" w:cs="微软雅黑"/>
                                        <w:sz w:val="21"/>
                                        <w:szCs w:val="21"/>
                                      </w:rPr>
                                    </w:pPr>
                                    <w:r>
                                      <w:rPr>
                                        <w:rFonts w:hint="eastAsia" w:ascii="仿宋_GB2312" w:hAnsi="仿宋_GB2312" w:eastAsia="仿宋_GB2312" w:cs="仿宋_GB2312"/>
                                        <w:sz w:val="21"/>
                                        <w:szCs w:val="21"/>
                                      </w:rPr>
                                      <w:t>二级单位</w:t>
                                    </w:r>
                                  </w:p>
                                </w:tc>
                              </w:tr>
                            </w:tbl>
                            <w:p>
                              <w:pPr>
                                <w:rPr>
                                  <w:rFonts w:ascii="Arial"/>
                                  <w:sz w:val="21"/>
                                </w:rPr>
                              </w:pPr>
                            </w:p>
                          </w:txbxContent>
                        </wps:txbx>
                        <wps:bodyPr lIns="0" tIns="0" rIns="0" bIns="0" upright="1"/>
                      </wps:wsp>
                    </wpg:wgp>
                  </a:graphicData>
                </a:graphic>
              </wp:anchor>
            </w:drawing>
          </mc:Choice>
          <mc:Fallback>
            <w:pict>
              <v:group id="_x0000_s1026" o:spid="_x0000_s1026" o:spt="203" style="position:absolute;left:0pt;margin-left:351.7pt;margin-top:10.65pt;height:57.05pt;width:92.5pt;z-index:251661312;mso-width-relative:page;mso-height-relative:page;" coordsize="1850,1140" o:gfxdata="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BEG5r+2gAAAAoBAAAPAAAAAAAAAAEAIAAAACIAAABkcnMvZG93&#10;bnJldi54bWxQSwECFAAUAAAACACHTuJALtTzcP8DAAAtDQAADgAAAAAAAAABACAAAAApAQAAZHJz&#10;L2Uyb0RvYy54bWxQSwUGAAAAAAYABgBZAQAAmgcAAAAA&#10;">
                <o:lock v:ext="edit" aspectratio="f"/>
                <v:group id="组合 28" o:spid="_x0000_s1026" o:spt="203" style="position:absolute;left:9;top:10;height:1130;width:1831;" coordsize="1831,1130"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0;top:0;height:1120;width:1830;" fillcolor="#FFFFFF" filled="t" stroked="f" coordsize="1830,1120" o:gfxdata="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D8W74A&#10;AADbAAAADwAAAAAAAAABACAAAAAiAAAAZHJzL2Rvd25yZXYueG1sUEsBAhQAFAAAAAgAh07iQDMv&#10;BZ47AAAAOQAAABAAAAAAAAAAAQAgAAAADQEAAGRycy9zaGFwZXhtbC54bWxQSwUGAAAAAAYABgBb&#10;AQAAtwMAAAAA&#10;" path="m0,0l305,0,305,0,762,0,1830,0,1830,507,1830,507,1830,724,1830,870,762,870,5,1120,305,870,0,870,0,724,0,507,0,507,0,0xe">
                    <v:fill on="t" focussize="0,0"/>
                    <v:stroke on="f"/>
                    <v:imagedata o:title=""/>
                    <o:lock v:ext="edit" aspectratio="f"/>
                  </v:shape>
                  <v:shape id="任意多边形 27" o:spid="_x0000_s1026" o:spt="100" style="position:absolute;left:0;top:860;height:270;width:766;" filled="f" stroked="t" coordsize="766,270" o:gfxdata="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00ZkvQAA&#10;ANsAAAAPAAAAAAAAAAEAIAAAACIAAABkcnMvZG93bnJldi54bWxQSwECFAAUAAAACACHTuJAMy8F&#10;njsAAAA5AAAAEAAAAAAAAAABACAAAAAMAQAAZHJzL3NoYXBleG1sLnhtbFBLBQYAAAAABgAGAFsB&#10;AAC2AwAAAAA=&#10;" path="m763,9l6,260,305,9e">
                    <v:fill on="f" focussize="0,0"/>
                    <v:stroke weight="1pt" color="#4472C4" miterlimit="10" joinstyle="miter"/>
                    <v:imagedata o:title=""/>
                    <o:lock v:ext="edit" aspectratio="f"/>
                  </v:shape>
                </v:group>
                <v:shape id="文本框 29" o:spid="_x0000_s1026" o:spt="202" type="#_x0000_t202" style="position:absolute;left:-20;top:-20;height:930;width:1890;"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 w:lineRule="exact"/>
                        </w:pPr>
                      </w:p>
                      <w:tbl>
                        <w:tblPr>
                          <w:tblStyle w:val="35"/>
                          <w:tblW w:w="183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183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850" w:hRule="atLeast"/>
                          </w:trPr>
                          <w:tc>
                            <w:tcPr>
                              <w:tcW w:w="1830" w:type="dxa"/>
                              <w:vAlign w:val="top"/>
                            </w:tcPr>
                            <w:p>
                              <w:pPr>
                                <w:spacing w:before="151" w:line="206" w:lineRule="auto"/>
                                <w:ind w:left="283" w:right="167" w:hanging="8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英文中无需加</w:t>
                              </w:r>
                            </w:p>
                            <w:p>
                              <w:pPr>
                                <w:spacing w:before="151" w:line="206" w:lineRule="auto"/>
                                <w:ind w:left="283" w:right="167" w:hanging="89"/>
                                <w:rPr>
                                  <w:rFonts w:ascii="微软雅黑" w:hAnsi="微软雅黑" w:eastAsia="微软雅黑" w:cs="微软雅黑"/>
                                  <w:sz w:val="21"/>
                                  <w:szCs w:val="21"/>
                                </w:rPr>
                              </w:pPr>
                              <w:r>
                                <w:rPr>
                                  <w:rFonts w:hint="eastAsia" w:ascii="仿宋_GB2312" w:hAnsi="仿宋_GB2312" w:eastAsia="仿宋_GB2312" w:cs="仿宋_GB2312"/>
                                  <w:sz w:val="21"/>
                                  <w:szCs w:val="21"/>
                                </w:rPr>
                                <w:t>二级单位</w:t>
                              </w:r>
                            </w:p>
                          </w:tc>
                        </w:tr>
                      </w:tbl>
                      <w:p>
                        <w:pPr>
                          <w:rPr>
                            <w:rFonts w:ascii="Arial"/>
                            <w:sz w:val="21"/>
                          </w:rPr>
                        </w:pPr>
                      </w:p>
                    </w:txbxContent>
                  </v:textbox>
                </v:shape>
              </v:group>
            </w:pict>
          </mc:Fallback>
        </mc:AlternateContent>
      </w:r>
    </w:p>
    <w:p>
      <w:pPr>
        <w:spacing w:before="80" w:line="187" w:lineRule="auto"/>
        <w:ind w:left="2026"/>
        <w:rPr>
          <w:rFonts w:ascii="Times New Roman" w:hAnsi="Times New Roman" w:eastAsia="Times New Roman" w:cs="Times New Roman"/>
          <w:sz w:val="27"/>
          <w:szCs w:val="27"/>
        </w:rPr>
      </w:pPr>
      <w:r>
        <w:rPr>
          <w:rFonts w:ascii="Times New Roman" w:hAnsi="Times New Roman" w:eastAsia="Times New Roman" w:cs="Times New Roman"/>
          <w:b/>
          <w:bCs/>
          <w:sz w:val="28"/>
          <w:szCs w:val="28"/>
        </w:rPr>
        <w:t xml:space="preserve">Tertiary Level </w:t>
      </w:r>
      <w:r>
        <w:rPr>
          <w:rFonts w:ascii="Times New Roman" w:hAnsi="Times New Roman" w:eastAsia="Times New Roman" w:cs="Times New Roman"/>
          <w:b/>
          <w:bCs/>
          <w:sz w:val="27"/>
          <w:szCs w:val="27"/>
        </w:rPr>
        <w:t>Vocationa</w:t>
      </w:r>
      <w:r>
        <w:rPr>
          <w:rFonts w:ascii="Times New Roman" w:hAnsi="Times New Roman" w:eastAsia="Times New Roman" w:cs="Times New Roman"/>
          <w:b/>
          <w:bCs/>
          <w:spacing w:val="-1"/>
          <w:sz w:val="27"/>
          <w:szCs w:val="27"/>
        </w:rPr>
        <w:t>l Education</w:t>
      </w:r>
    </w:p>
    <w:p>
      <w:pPr>
        <w:spacing w:line="277" w:lineRule="auto"/>
        <w:rPr>
          <w:rFonts w:ascii="Arial"/>
          <w:sz w:val="21"/>
        </w:rPr>
      </w:pPr>
    </w:p>
    <w:p>
      <w:pPr>
        <w:spacing w:before="70" w:line="206" w:lineRule="auto"/>
        <w:ind w:left="3670"/>
        <w:rPr>
          <w:rFonts w:ascii="Times New Roman" w:hAnsi="Times New Roman" w:eastAsia="Times New Roman" w:cs="Times New Roman"/>
          <w:sz w:val="16"/>
          <w:szCs w:val="16"/>
        </w:rPr>
      </w:pPr>
      <w:r>
        <w:rPr>
          <w:rFonts w:ascii="Times New Roman" w:hAnsi="Times New Roman" w:eastAsia="Times New Roman" w:cs="Times New Roman"/>
          <w:spacing w:val="-1"/>
          <w:position w:val="-2"/>
          <w:sz w:val="24"/>
          <w:szCs w:val="24"/>
        </w:rPr>
        <w:t xml:space="preserve">LI </w:t>
      </w:r>
      <w:r>
        <w:rPr>
          <w:rFonts w:hint="eastAsia" w:cs="Times New Roman"/>
          <w:spacing w:val="-1"/>
          <w:position w:val="-2"/>
          <w:sz w:val="24"/>
          <w:szCs w:val="24"/>
          <w:lang w:val="en-US" w:eastAsia="zh-CN"/>
        </w:rPr>
        <w:t>S</w:t>
      </w:r>
      <w:r>
        <w:rPr>
          <w:rFonts w:ascii="Times New Roman" w:hAnsi="Times New Roman" w:eastAsia="Times New Roman" w:cs="Times New Roman"/>
          <w:spacing w:val="-1"/>
          <w:position w:val="-2"/>
          <w:sz w:val="24"/>
          <w:szCs w:val="24"/>
        </w:rPr>
        <w:t>i</w:t>
      </w:r>
      <w:r>
        <w:rPr>
          <w:rFonts w:ascii="Times New Roman" w:hAnsi="Times New Roman" w:eastAsia="Times New Roman" w:cs="Times New Roman"/>
          <w:spacing w:val="-1"/>
          <w:position w:val="7"/>
          <w:sz w:val="16"/>
          <w:szCs w:val="16"/>
        </w:rPr>
        <w:t>1,2</w:t>
      </w:r>
    </w:p>
    <w:p>
      <w:pPr>
        <w:spacing w:before="211" w:line="202" w:lineRule="auto"/>
        <w:rPr>
          <w:rFonts w:ascii="Times New Roman" w:hAnsi="Times New Roman" w:eastAsia="Times New Roman" w:cs="Times New Roman"/>
          <w:sz w:val="24"/>
          <w:szCs w:val="24"/>
        </w:rPr>
      </w:pPr>
      <w:r>
        <w:rPr>
          <w:rFonts w:ascii="华文楷体" w:hAnsi="华文楷体" w:eastAsia="华文楷体" w:cs="华文楷体"/>
          <w:spacing w:val="-1"/>
          <w:sz w:val="24"/>
          <w:szCs w:val="24"/>
        </w:rPr>
        <w:t>（</w:t>
      </w:r>
      <w:r>
        <w:rPr>
          <w:rFonts w:ascii="Times New Roman" w:hAnsi="Times New Roman" w:eastAsia="Times New Roman" w:cs="Times New Roman"/>
          <w:spacing w:val="-1"/>
          <w:sz w:val="24"/>
          <w:szCs w:val="24"/>
        </w:rPr>
        <w:t>1.</w:t>
      </w:r>
      <w:r>
        <w:rPr>
          <w:rFonts w:ascii="Times New Roman" w:hAnsi="Times New Roman" w:eastAsia="Times New Roman" w:cs="Times New Roman"/>
          <w:sz w:val="24"/>
          <w:szCs w:val="24"/>
        </w:rPr>
        <w:t>Nanjing Vocational University of</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sz w:val="24"/>
          <w:szCs w:val="24"/>
        </w:rPr>
        <w:t>Industry Technology, Nanjing 210023, China</w:t>
      </w:r>
      <w:r>
        <w:rPr>
          <w:rFonts w:ascii="Times New Roman" w:hAnsi="Times New Roman" w:eastAsia="Times New Roman" w:cs="Times New Roman"/>
          <w:spacing w:val="-1"/>
          <w:sz w:val="24"/>
          <w:szCs w:val="24"/>
        </w:rPr>
        <w:t>;</w:t>
      </w:r>
    </w:p>
    <w:p>
      <w:pPr>
        <w:spacing w:line="241" w:lineRule="auto"/>
        <w:rPr>
          <w:rFonts w:ascii="Arial"/>
          <w:sz w:val="21"/>
        </w:rPr>
      </w:pPr>
    </w:p>
    <w:p>
      <w:pPr>
        <w:spacing w:before="87" w:line="202" w:lineRule="auto"/>
        <w:ind w:left="137"/>
        <w:jc w:val="center"/>
        <w:rPr>
          <w:rFonts w:ascii="华文楷体" w:hAnsi="华文楷体" w:eastAsia="华文楷体" w:cs="华文楷体"/>
          <w:sz w:val="24"/>
          <w:szCs w:val="24"/>
        </w:rPr>
      </w:pPr>
      <w:r>
        <w:rPr>
          <w:rFonts w:ascii="Times New Roman" w:hAnsi="Times New Roman" w:eastAsia="Times New Roman" w:cs="Times New Roman"/>
          <w:sz w:val="24"/>
          <w:szCs w:val="24"/>
        </w:rPr>
        <w:t>2.</w:t>
      </w:r>
      <w:r>
        <w:rPr>
          <w:rFonts w:ascii="华文楷体" w:hAnsi="华文楷体" w:eastAsia="华文楷体" w:cs="华文楷体"/>
          <w:sz w:val="24"/>
          <w:szCs w:val="24"/>
        </w:rPr>
        <w:t>）</w:t>
      </w:r>
    </w:p>
    <w:p>
      <w:pPr>
        <w:spacing w:line="452" w:lineRule="auto"/>
        <w:rPr>
          <w:rFonts w:ascii="Arial"/>
          <w:sz w:val="21"/>
        </w:rPr>
      </w:pPr>
    </w:p>
    <w:p>
      <w:pPr>
        <w:spacing w:before="70" w:line="252" w:lineRule="auto"/>
        <w:ind w:left="16" w:right="93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Abstract</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sz w:val="24"/>
          <w:szCs w:val="24"/>
        </w:rPr>
        <w:t>Vocational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tertiary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education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become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important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focus</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 xml:space="preserve">of </w:t>
      </w:r>
      <w:r>
        <w:rPr>
          <w:rFonts w:ascii="Times New Roman" w:hAnsi="Times New Roman" w:eastAsia="Times New Roman" w:cs="Times New Roman"/>
          <w:spacing w:val="-1"/>
          <w:sz w:val="24"/>
          <w:szCs w:val="24"/>
        </w:rPr>
        <w:t>vocational education research.</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2"/>
          <w:sz w:val="24"/>
          <w:szCs w:val="24"/>
        </w:rPr>
        <w:t>…</w:t>
      </w:r>
    </w:p>
    <w:p>
      <w:pPr>
        <w:spacing w:before="45" w:line="190" w:lineRule="auto"/>
        <w:ind w:left="19"/>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b/>
          <w:bCs/>
          <w:spacing w:val="7"/>
          <w:sz w:val="24"/>
          <w:szCs w:val="24"/>
        </w:rPr>
        <w:t xml:space="preserve">: </w:t>
      </w:r>
      <w:r>
        <w:rPr>
          <w:rFonts w:ascii="Times New Roman" w:hAnsi="Times New Roman" w:eastAsia="Times New Roman" w:cs="Times New Roman"/>
          <w:sz w:val="24"/>
          <w:szCs w:val="24"/>
        </w:rPr>
        <w:t>tertiary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vocational</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education</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7"/>
          <w:sz w:val="24"/>
          <w:szCs w:val="24"/>
        </w:rPr>
        <w:t>…</w:t>
      </w:r>
    </w:p>
    <w:p>
      <w:pPr>
        <w:spacing w:line="245" w:lineRule="auto"/>
        <w:rPr>
          <w:rFonts w:ascii="Arial"/>
          <w:sz w:val="21"/>
        </w:rPr>
      </w:pPr>
    </w:p>
    <w:p>
      <w:pPr>
        <w:spacing w:line="246" w:lineRule="auto"/>
        <w:rPr>
          <w:rFonts w:ascii="Arial"/>
          <w:sz w:val="21"/>
        </w:rPr>
      </w:pPr>
    </w:p>
    <w:p>
      <w:pPr>
        <w:spacing w:before="78" w:line="562" w:lineRule="exact"/>
        <w:ind w:left="503"/>
        <w:rPr>
          <w:rFonts w:ascii="宋体" w:hAnsi="宋体" w:eastAsia="宋体" w:cs="宋体"/>
          <w:sz w:val="24"/>
          <w:szCs w:val="24"/>
        </w:rPr>
      </w:pPr>
      <w:r>
        <w:rPr>
          <w:rFonts w:ascii="宋体" w:hAnsi="宋体" w:eastAsia="宋体" w:cs="宋体"/>
          <w:position w:val="24"/>
          <w:sz w:val="24"/>
          <w:szCs w:val="24"/>
        </w:rPr>
        <w:t>基金项目：江苏省高等教育教改研究课题重中之</w:t>
      </w:r>
      <w:r>
        <w:rPr>
          <w:rFonts w:ascii="宋体" w:hAnsi="宋体" w:eastAsia="宋体" w:cs="宋体"/>
          <w:spacing w:val="-1"/>
          <w:position w:val="24"/>
          <w:sz w:val="24"/>
          <w:szCs w:val="24"/>
        </w:rPr>
        <w:t>重项目“职业本科专业标</w:t>
      </w:r>
    </w:p>
    <w:p>
      <w:pPr>
        <w:spacing w:line="218" w:lineRule="auto"/>
        <w:ind w:left="25"/>
        <w:rPr>
          <w:rFonts w:ascii="宋体" w:hAnsi="宋体" w:eastAsia="宋体" w:cs="宋体"/>
          <w:sz w:val="24"/>
          <w:szCs w:val="24"/>
        </w:rPr>
      </w:pPr>
      <w:r>
        <w:rPr>
          <w:rFonts w:ascii="宋体" w:hAnsi="宋体" w:eastAsia="宋体" w:cs="宋体"/>
          <w:spacing w:val="-7"/>
          <w:sz w:val="24"/>
          <w:szCs w:val="24"/>
        </w:rPr>
        <w:t>准体系研制理论与方法研究”（编号：2021J</w:t>
      </w:r>
      <w:r>
        <w:rPr>
          <w:rFonts w:ascii="宋体" w:hAnsi="宋体" w:eastAsia="宋体" w:cs="宋体"/>
          <w:spacing w:val="-8"/>
          <w:sz w:val="24"/>
          <w:szCs w:val="24"/>
        </w:rPr>
        <w:t>SJG045）。</w:t>
      </w:r>
    </w:p>
    <w:p>
      <w:pPr>
        <w:spacing w:before="276" w:line="560" w:lineRule="exact"/>
        <w:ind w:left="504"/>
        <w:rPr>
          <w:rFonts w:ascii="宋体" w:hAnsi="宋体" w:eastAsia="宋体" w:cs="宋体"/>
          <w:sz w:val="24"/>
          <w:szCs w:val="24"/>
        </w:rPr>
      </w:pPr>
      <w:r>
        <w:rPr>
          <w:rFonts w:ascii="宋体" w:hAnsi="宋体" w:eastAsia="宋体" w:cs="宋体"/>
          <w:spacing w:val="-6"/>
          <w:position w:val="24"/>
          <w:sz w:val="24"/>
          <w:szCs w:val="24"/>
        </w:rPr>
        <w:t>作者简介：</w:t>
      </w:r>
      <w:r>
        <w:rPr>
          <w:rFonts w:ascii="宋体" w:hAnsi="宋体" w:eastAsia="宋体" w:cs="宋体"/>
          <w:spacing w:val="30"/>
          <w:position w:val="24"/>
          <w:sz w:val="24"/>
          <w:szCs w:val="24"/>
        </w:rPr>
        <w:t xml:space="preserve"> </w:t>
      </w:r>
      <w:r>
        <w:rPr>
          <w:rFonts w:ascii="宋体" w:hAnsi="宋体" w:eastAsia="宋体" w:cs="宋体"/>
          <w:spacing w:val="-6"/>
          <w:position w:val="24"/>
          <w:sz w:val="24"/>
          <w:szCs w:val="24"/>
        </w:rPr>
        <w:t>李</w:t>
      </w:r>
      <w:r>
        <w:rPr>
          <w:rFonts w:hint="eastAsia" w:ascii="宋体" w:hAnsi="宋体" w:cs="宋体"/>
          <w:spacing w:val="-6"/>
          <w:position w:val="24"/>
          <w:sz w:val="24"/>
          <w:szCs w:val="24"/>
          <w:lang w:val="en-US" w:eastAsia="zh-CN"/>
        </w:rPr>
        <w:t>四</w:t>
      </w:r>
      <w:r>
        <w:rPr>
          <w:rFonts w:ascii="宋体" w:hAnsi="宋体" w:eastAsia="宋体" w:cs="宋体"/>
          <w:spacing w:val="-6"/>
          <w:position w:val="24"/>
          <w:sz w:val="24"/>
          <w:szCs w:val="24"/>
        </w:rPr>
        <w:t>（198</w:t>
      </w:r>
      <w:r>
        <w:rPr>
          <w:rFonts w:hint="eastAsia" w:ascii="宋体" w:hAnsi="宋体" w:cs="宋体"/>
          <w:spacing w:val="-6"/>
          <w:position w:val="24"/>
          <w:sz w:val="24"/>
          <w:szCs w:val="24"/>
          <w:lang w:val="en-US" w:eastAsia="zh-CN"/>
        </w:rPr>
        <w:t>2</w:t>
      </w:r>
      <w:r>
        <w:rPr>
          <w:rFonts w:ascii="宋体" w:hAnsi="宋体" w:eastAsia="宋体" w:cs="宋体"/>
          <w:spacing w:val="-6"/>
          <w:position w:val="24"/>
          <w:sz w:val="24"/>
          <w:szCs w:val="24"/>
        </w:rPr>
        <w:t>—</w:t>
      </w:r>
      <w:r>
        <w:rPr>
          <w:rFonts w:ascii="宋体" w:hAnsi="宋体" w:eastAsia="宋体" w:cs="宋体"/>
          <w:spacing w:val="-35"/>
          <w:position w:val="24"/>
          <w:sz w:val="24"/>
          <w:szCs w:val="24"/>
        </w:rPr>
        <w:t>），</w:t>
      </w:r>
      <w:r>
        <w:rPr>
          <w:rFonts w:ascii="宋体" w:hAnsi="宋体" w:eastAsia="宋体" w:cs="宋体"/>
          <w:spacing w:val="-6"/>
          <w:position w:val="24"/>
          <w:sz w:val="24"/>
          <w:szCs w:val="24"/>
        </w:rPr>
        <w:t>男， 江苏南京</w:t>
      </w:r>
      <w:r>
        <w:rPr>
          <w:rFonts w:ascii="宋体" w:hAnsi="宋体" w:eastAsia="宋体" w:cs="宋体"/>
          <w:spacing w:val="-7"/>
          <w:position w:val="24"/>
          <w:sz w:val="24"/>
          <w:szCs w:val="24"/>
        </w:rPr>
        <w:t>人，南京工业职业技术大学副</w:t>
      </w:r>
    </w:p>
    <w:p>
      <w:pPr>
        <w:spacing w:before="1" w:line="218" w:lineRule="auto"/>
        <w:ind w:left="23"/>
        <w:rPr>
          <w:rFonts w:ascii="宋体" w:hAnsi="宋体" w:eastAsia="宋体" w:cs="宋体"/>
          <w:sz w:val="24"/>
          <w:szCs w:val="24"/>
        </w:rPr>
      </w:pPr>
      <w:r>
        <w:rPr>
          <w:rFonts w:ascii="宋体" w:hAnsi="宋体" w:eastAsia="宋体" w:cs="宋体"/>
          <w:spacing w:val="-10"/>
          <w:sz w:val="24"/>
          <w:szCs w:val="24"/>
        </w:rPr>
        <w:t>研究员， 教育学博士。</w:t>
      </w:r>
      <w:r>
        <w:rPr>
          <w:rFonts w:ascii="宋体" w:hAnsi="宋体" w:eastAsia="宋体" w:cs="宋体"/>
          <w:spacing w:val="45"/>
          <w:sz w:val="24"/>
          <w:szCs w:val="24"/>
        </w:rPr>
        <w:t xml:space="preserve"> </w:t>
      </w:r>
      <w:r>
        <w:rPr>
          <w:rFonts w:ascii="宋体" w:hAnsi="宋体" w:eastAsia="宋体" w:cs="宋体"/>
          <w:spacing w:val="-10"/>
          <w:sz w:val="24"/>
          <w:szCs w:val="24"/>
        </w:rPr>
        <w:t>研究方向：职业本科教育、职</w:t>
      </w:r>
      <w:r>
        <w:rPr>
          <w:rFonts w:ascii="宋体" w:hAnsi="宋体" w:eastAsia="宋体" w:cs="宋体"/>
          <w:spacing w:val="-11"/>
          <w:sz w:val="24"/>
          <w:szCs w:val="24"/>
        </w:rPr>
        <w:t>业教育专业建设。</w:t>
      </w:r>
    </w:p>
    <w:p>
      <w:pPr>
        <w:pStyle w:val="3"/>
        <w:spacing w:before="156" w:line="1551" w:lineRule="exact"/>
        <w:ind w:firstLine="4468"/>
      </w:pPr>
      <w:r>
        <w:rPr>
          <w:position w:val="-31"/>
        </w:rPr>
        <mc:AlternateContent>
          <mc:Choice Requires="wpg">
            <w:drawing>
              <wp:inline distT="0" distB="0" distL="114300" distR="114300">
                <wp:extent cx="2673350" cy="1075690"/>
                <wp:effectExtent l="0" t="5080" r="12700" b="0"/>
                <wp:docPr id="25" name="组合 25"/>
                <wp:cNvGraphicFramePr/>
                <a:graphic xmlns:a="http://schemas.openxmlformats.org/drawingml/2006/main">
                  <a:graphicData uri="http://schemas.microsoft.com/office/word/2010/wordprocessingGroup">
                    <wpg:wgp>
                      <wpg:cNvGrpSpPr/>
                      <wpg:grpSpPr>
                        <a:xfrm>
                          <a:off x="0" y="0"/>
                          <a:ext cx="2673350" cy="1075748"/>
                          <a:chOff x="-20" y="0"/>
                          <a:chExt cx="4210" cy="1693"/>
                        </a:xfrm>
                      </wpg:grpSpPr>
                      <wpg:grpSp>
                        <wpg:cNvPr id="23" name="组合 23"/>
                        <wpg:cNvGrpSpPr/>
                        <wpg:grpSpPr>
                          <a:xfrm>
                            <a:off x="10" y="0"/>
                            <a:ext cx="4150" cy="1541"/>
                            <a:chOff x="0" y="0"/>
                            <a:chExt cx="4150" cy="1541"/>
                          </a:xfrm>
                        </wpg:grpSpPr>
                        <wps:wsp>
                          <wps:cNvPr id="21" name="任意多边形 21"/>
                          <wps:cNvSpPr/>
                          <wps:spPr>
                            <a:xfrm>
                              <a:off x="0" y="9"/>
                              <a:ext cx="4150" cy="1531"/>
                            </a:xfrm>
                            <a:custGeom>
                              <a:avLst/>
                              <a:gdLst/>
                              <a:ahLst/>
                              <a:cxnLst/>
                              <a:pathLst>
                                <a:path w="4150" h="1531">
                                  <a:moveTo>
                                    <a:pt x="0" y="341"/>
                                  </a:moveTo>
                                  <a:lnTo>
                                    <a:pt x="2420" y="341"/>
                                  </a:lnTo>
                                  <a:lnTo>
                                    <a:pt x="2170" y="0"/>
                                  </a:lnTo>
                                  <a:lnTo>
                                    <a:pt x="3458" y="341"/>
                                  </a:lnTo>
                                  <a:lnTo>
                                    <a:pt x="4150" y="341"/>
                                  </a:lnTo>
                                  <a:lnTo>
                                    <a:pt x="4150" y="539"/>
                                  </a:lnTo>
                                  <a:lnTo>
                                    <a:pt x="4150" y="539"/>
                                  </a:lnTo>
                                  <a:lnTo>
                                    <a:pt x="4150" y="837"/>
                                  </a:lnTo>
                                  <a:lnTo>
                                    <a:pt x="4150" y="1531"/>
                                  </a:lnTo>
                                  <a:lnTo>
                                    <a:pt x="3458" y="1531"/>
                                  </a:lnTo>
                                  <a:lnTo>
                                    <a:pt x="2420" y="1531"/>
                                  </a:lnTo>
                                  <a:lnTo>
                                    <a:pt x="2420" y="1531"/>
                                  </a:lnTo>
                                  <a:lnTo>
                                    <a:pt x="0" y="1531"/>
                                  </a:lnTo>
                                  <a:lnTo>
                                    <a:pt x="0" y="837"/>
                                  </a:lnTo>
                                  <a:lnTo>
                                    <a:pt x="0" y="539"/>
                                  </a:lnTo>
                                  <a:lnTo>
                                    <a:pt x="0" y="539"/>
                                  </a:lnTo>
                                  <a:lnTo>
                                    <a:pt x="0" y="341"/>
                                  </a:lnTo>
                                  <a:close/>
                                </a:path>
                              </a:pathLst>
                            </a:custGeom>
                            <a:solidFill>
                              <a:srgbClr val="FFFFFF"/>
                            </a:solidFill>
                            <a:ln>
                              <a:noFill/>
                            </a:ln>
                          </wps:spPr>
                          <wps:bodyPr upright="1"/>
                        </wps:wsp>
                        <wps:wsp>
                          <wps:cNvPr id="22" name="任意多边形 22"/>
                          <wps:cNvSpPr/>
                          <wps:spPr>
                            <a:xfrm>
                              <a:off x="2162" y="0"/>
                              <a:ext cx="1298" cy="360"/>
                            </a:xfrm>
                            <a:custGeom>
                              <a:avLst/>
                              <a:gdLst/>
                              <a:ahLst/>
                              <a:cxnLst/>
                              <a:pathLst>
                                <a:path w="1298" h="360">
                                  <a:moveTo>
                                    <a:pt x="258" y="351"/>
                                  </a:moveTo>
                                  <a:lnTo>
                                    <a:pt x="8" y="9"/>
                                  </a:lnTo>
                                  <a:lnTo>
                                    <a:pt x="1296" y="351"/>
                                  </a:lnTo>
                                </a:path>
                              </a:pathLst>
                            </a:custGeom>
                            <a:noFill/>
                            <a:ln w="12700" cap="flat" cmpd="sng">
                              <a:solidFill>
                                <a:srgbClr val="4472C4"/>
                              </a:solidFill>
                              <a:prstDash val="solid"/>
                              <a:miter lim="1000000"/>
                              <a:headEnd type="none" w="med" len="med"/>
                              <a:tailEnd type="none" w="med" len="med"/>
                            </a:ln>
                          </wps:spPr>
                          <wps:bodyPr upright="1"/>
                        </wps:wsp>
                      </wpg:grpSp>
                      <wps:wsp>
                        <wps:cNvPr id="24" name="文本框 24"/>
                        <wps:cNvSpPr txBox="1"/>
                        <wps:spPr>
                          <a:xfrm>
                            <a:off x="-20" y="321"/>
                            <a:ext cx="4210" cy="1372"/>
                          </a:xfrm>
                          <a:prstGeom prst="rect">
                            <a:avLst/>
                          </a:prstGeom>
                          <a:noFill/>
                          <a:ln>
                            <a:noFill/>
                          </a:ln>
                        </wps:spPr>
                        <wps:txbx>
                          <w:txbxContent>
                            <w:p>
                              <w:pPr>
                                <w:spacing w:line="20" w:lineRule="exact"/>
                              </w:pPr>
                            </w:p>
                            <w:tbl>
                              <w:tblPr>
                                <w:tblStyle w:val="35"/>
                                <w:tblW w:w="415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415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1169" w:hRule="atLeast"/>
                                </w:trPr>
                                <w:tc>
                                  <w:tcPr>
                                    <w:tcW w:w="4150" w:type="dxa"/>
                                    <w:vAlign w:val="top"/>
                                  </w:tcPr>
                                  <w:p>
                                    <w:pPr>
                                      <w:spacing w:before="155" w:line="202" w:lineRule="auto"/>
                                      <w:ind w:left="183"/>
                                      <w:rPr>
                                        <w:rFonts w:hint="eastAsia" w:ascii="仿宋_GB2312" w:hAnsi="仿宋_GB2312" w:eastAsia="仿宋_GB2312" w:cs="仿宋_GB2312"/>
                                        <w:spacing w:val="-4"/>
                                        <w:sz w:val="21"/>
                                        <w:szCs w:val="21"/>
                                      </w:rPr>
                                    </w:pPr>
                                    <w:r>
                                      <w:rPr>
                                        <w:rFonts w:ascii="微软雅黑" w:hAnsi="微软雅黑" w:eastAsia="微软雅黑" w:cs="微软雅黑"/>
                                        <w:spacing w:val="-4"/>
                                        <w:sz w:val="21"/>
                                        <w:szCs w:val="21"/>
                                        <w14:textOutline w14:w="3831" w14:cap="flat" w14:cmpd="sng">
                                          <w14:solidFill>
                                            <w14:srgbClr w14:val="000000"/>
                                          </w14:solidFill>
                                          <w14:prstDash w14:val="solid"/>
                                          <w14:miter w14:val="0"/>
                                        </w14:textOutline>
                                      </w:rPr>
                                      <w:t>作者简介需包含：</w:t>
                                    </w:r>
                                    <w:r>
                                      <w:rPr>
                                        <w:rFonts w:hint="eastAsia" w:ascii="仿宋_GB2312" w:hAnsi="仿宋_GB2312" w:eastAsia="仿宋_GB2312" w:cs="仿宋_GB2312"/>
                                        <w:spacing w:val="-4"/>
                                        <w:sz w:val="21"/>
                                        <w:szCs w:val="21"/>
                                      </w:rPr>
                                      <w:t>姓名，出生年，性别，</w:t>
                                    </w:r>
                                  </w:p>
                                  <w:p>
                                    <w:pPr>
                                      <w:spacing w:before="155" w:line="202" w:lineRule="auto"/>
                                      <w:ind w:left="183"/>
                                      <w:rPr>
                                        <w:rFonts w:hint="eastAsia" w:ascii="仿宋_GB2312" w:hAnsi="仿宋_GB2312" w:eastAsia="仿宋_GB2312" w:cs="仿宋_GB2312"/>
                                        <w:spacing w:val="-14"/>
                                        <w:sz w:val="21"/>
                                        <w:szCs w:val="21"/>
                                      </w:rPr>
                                    </w:pPr>
                                    <w:r>
                                      <w:rPr>
                                        <w:rFonts w:hint="eastAsia" w:ascii="仿宋_GB2312" w:hAnsi="仿宋_GB2312" w:eastAsia="仿宋_GB2312" w:cs="仿宋_GB2312"/>
                                        <w:spacing w:val="-14"/>
                                        <w:sz w:val="21"/>
                                        <w:szCs w:val="21"/>
                                      </w:rPr>
                                      <w:t>籍贯，学校，院系，职务，职称，学位，</w:t>
                                    </w:r>
                                  </w:p>
                                  <w:p>
                                    <w:pPr>
                                      <w:spacing w:before="155" w:line="202" w:lineRule="auto"/>
                                      <w:ind w:left="183"/>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研究方向。</w:t>
                                    </w:r>
                                  </w:p>
                                </w:tc>
                              </w:tr>
                            </w:tbl>
                            <w:p>
                              <w:pPr>
                                <w:rPr>
                                  <w:rFonts w:ascii="Arial"/>
                                  <w:sz w:val="21"/>
                                </w:rPr>
                              </w:pPr>
                            </w:p>
                          </w:txbxContent>
                        </wps:txbx>
                        <wps:bodyPr lIns="0" tIns="0" rIns="0" bIns="0" upright="1"/>
                      </wps:wsp>
                    </wpg:wgp>
                  </a:graphicData>
                </a:graphic>
              </wp:inline>
            </w:drawing>
          </mc:Choice>
          <mc:Fallback>
            <w:pict>
              <v:group id="_x0000_s1026" o:spid="_x0000_s1026" o:spt="203" style="height:84.7pt;width:210.5pt;" coordorigin="-20,0" coordsize="4210,1693" o:gfxdata="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Bq/Aqy1QAAAAUBAAAPAAAAAAAAAAEA&#10;IAAAACIAAABkcnMvZG93bnJldi54bWxQSwECFAAUAAAACACHTuJAkxTfphMEAABNDQAADgAAAAAA&#10;AAABACAAAAAkAQAAZHJzL2Uyb0RvYy54bWxQSwUGAAAAAAYABgBZAQAAqQcAAAAA&#10;">
                <o:lock v:ext="edit" aspectratio="f"/>
                <v:group id="_x0000_s1026" o:spid="_x0000_s1026" o:spt="203" style="position:absolute;left:10;top:0;height:1541;width:4150;" coordsize="4150,1541"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0;top:9;height:1531;width:4150;" fillcolor="#FFFFFF" filled="t" stroked="f" coordsize="4150,1531" o:gfxdata="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dEzO/&#10;AAAA2wAAAA8AAAAAAAAAAQAgAAAAIgAAAGRycy9kb3ducmV2LnhtbFBLAQIUABQAAAAIAIdO4kAz&#10;LwWeOwAAADkAAAAQAAAAAAAAAAEAIAAAAA4BAABkcnMvc2hhcGV4bWwueG1sUEsFBgAAAAAGAAYA&#10;WwEAALgDAAAAAA==&#10;" path="m0,341l2420,341,2170,0,3458,341,4150,341,4150,539,4150,539,4150,837,4150,1531,3458,1531,2420,1531,2420,1531,0,1531,0,837,0,539,0,539,0,341xe">
                    <v:fill on="t" focussize="0,0"/>
                    <v:stroke on="f"/>
                    <v:imagedata o:title=""/>
                    <o:lock v:ext="edit" aspectratio="f"/>
                  </v:shape>
                  <v:shape id="_x0000_s1026" o:spid="_x0000_s1026" o:spt="100" style="position:absolute;left:2162;top:0;height:360;width:1298;" filled="f" stroked="t" coordsize="1298,360" o:gfxdata="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JcG3vQAA&#10;ANsAAAAPAAAAAAAAAAEAIAAAACIAAABkcnMvZG93bnJldi54bWxQSwECFAAUAAAACACHTuJAMy8F&#10;njsAAAA5AAAAEAAAAAAAAAABACAAAAAMAQAAZHJzL3NoYXBleG1sLnhtbFBLBQYAAAAABgAGAFsB&#10;AAC2AwAAAAA=&#10;" path="m258,351l8,9,1296,351e">
                    <v:fill on="f" focussize="0,0"/>
                    <v:stroke weight="1pt" color="#4472C4" miterlimit="10" joinstyle="miter"/>
                    <v:imagedata o:title=""/>
                    <o:lock v:ext="edit" aspectratio="f"/>
                  </v:shape>
                </v:group>
                <v:shape id="_x0000_s1026" o:spid="_x0000_s1026" o:spt="202" type="#_x0000_t202" style="position:absolute;left:-20;top:321;height:1372;width:421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 w:lineRule="exact"/>
                        </w:pPr>
                      </w:p>
                      <w:tbl>
                        <w:tblPr>
                          <w:tblStyle w:val="35"/>
                          <w:tblW w:w="415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415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1169" w:hRule="atLeast"/>
                          </w:trPr>
                          <w:tc>
                            <w:tcPr>
                              <w:tcW w:w="4150" w:type="dxa"/>
                              <w:vAlign w:val="top"/>
                            </w:tcPr>
                            <w:p>
                              <w:pPr>
                                <w:spacing w:before="155" w:line="202" w:lineRule="auto"/>
                                <w:ind w:left="183"/>
                                <w:rPr>
                                  <w:rFonts w:hint="eastAsia" w:ascii="仿宋_GB2312" w:hAnsi="仿宋_GB2312" w:eastAsia="仿宋_GB2312" w:cs="仿宋_GB2312"/>
                                  <w:spacing w:val="-4"/>
                                  <w:sz w:val="21"/>
                                  <w:szCs w:val="21"/>
                                </w:rPr>
                              </w:pPr>
                              <w:r>
                                <w:rPr>
                                  <w:rFonts w:ascii="微软雅黑" w:hAnsi="微软雅黑" w:eastAsia="微软雅黑" w:cs="微软雅黑"/>
                                  <w:spacing w:val="-4"/>
                                  <w:sz w:val="21"/>
                                  <w:szCs w:val="21"/>
                                  <w14:textOutline w14:w="3831" w14:cap="flat" w14:cmpd="sng">
                                    <w14:solidFill>
                                      <w14:srgbClr w14:val="000000"/>
                                    </w14:solidFill>
                                    <w14:prstDash w14:val="solid"/>
                                    <w14:miter w14:val="0"/>
                                  </w14:textOutline>
                                </w:rPr>
                                <w:t>作者简介需包含：</w:t>
                              </w:r>
                              <w:r>
                                <w:rPr>
                                  <w:rFonts w:hint="eastAsia" w:ascii="仿宋_GB2312" w:hAnsi="仿宋_GB2312" w:eastAsia="仿宋_GB2312" w:cs="仿宋_GB2312"/>
                                  <w:spacing w:val="-4"/>
                                  <w:sz w:val="21"/>
                                  <w:szCs w:val="21"/>
                                </w:rPr>
                                <w:t>姓名，出生年，性别，</w:t>
                              </w:r>
                            </w:p>
                            <w:p>
                              <w:pPr>
                                <w:spacing w:before="155" w:line="202" w:lineRule="auto"/>
                                <w:ind w:left="183"/>
                                <w:rPr>
                                  <w:rFonts w:hint="eastAsia" w:ascii="仿宋_GB2312" w:hAnsi="仿宋_GB2312" w:eastAsia="仿宋_GB2312" w:cs="仿宋_GB2312"/>
                                  <w:spacing w:val="-14"/>
                                  <w:sz w:val="21"/>
                                  <w:szCs w:val="21"/>
                                </w:rPr>
                              </w:pPr>
                              <w:r>
                                <w:rPr>
                                  <w:rFonts w:hint="eastAsia" w:ascii="仿宋_GB2312" w:hAnsi="仿宋_GB2312" w:eastAsia="仿宋_GB2312" w:cs="仿宋_GB2312"/>
                                  <w:spacing w:val="-14"/>
                                  <w:sz w:val="21"/>
                                  <w:szCs w:val="21"/>
                                </w:rPr>
                                <w:t>籍贯，学校，院系，职务，职称，学位，</w:t>
                              </w:r>
                            </w:p>
                            <w:p>
                              <w:pPr>
                                <w:spacing w:before="155" w:line="202" w:lineRule="auto"/>
                                <w:ind w:left="183"/>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研究方向。</w:t>
                              </w:r>
                            </w:p>
                          </w:tc>
                        </w:tr>
                      </w:tbl>
                      <w:p>
                        <w:pPr>
                          <w:rPr>
                            <w:rFonts w:ascii="Arial"/>
                            <w:sz w:val="21"/>
                          </w:rPr>
                        </w:pPr>
                      </w:p>
                    </w:txbxContent>
                  </v:textbox>
                </v:shape>
                <w10:wrap type="none"/>
                <w10:anchorlock/>
              </v:group>
            </w:pict>
          </mc:Fallback>
        </mc:AlternateContent>
      </w:r>
    </w:p>
    <w:p>
      <w:pPr>
        <w:spacing w:line="1551" w:lineRule="exact"/>
        <w:sectPr>
          <w:pgSz w:w="11907" w:h="16839"/>
          <w:pgMar w:top="1431" w:right="1482" w:bottom="0" w:left="1785" w:header="0" w:footer="0" w:gutter="0"/>
          <w:cols w:space="720" w:num="1"/>
        </w:sectPr>
      </w:pPr>
    </w:p>
    <w:p>
      <w:pPr>
        <w:spacing w:line="406" w:lineRule="auto"/>
        <w:rPr>
          <w:rFonts w:ascii="Arial"/>
          <w:sz w:val="21"/>
        </w:rPr>
      </w:pPr>
    </w:p>
    <w:p>
      <w:pPr>
        <w:pStyle w:val="3"/>
        <w:spacing w:line="1478" w:lineRule="exact"/>
        <w:ind w:firstLine="534"/>
      </w:pPr>
      <w:r>
        <w:rPr>
          <w:position w:val="-29"/>
        </w:rPr>
        <mc:AlternateContent>
          <mc:Choice Requires="wpg">
            <w:drawing>
              <wp:inline distT="0" distB="0" distL="114300" distR="114300">
                <wp:extent cx="2184400" cy="939165"/>
                <wp:effectExtent l="12700" t="0" r="12700" b="19685"/>
                <wp:docPr id="20" name="组合 20"/>
                <wp:cNvGraphicFramePr/>
                <a:graphic xmlns:a="http://schemas.openxmlformats.org/drawingml/2006/main">
                  <a:graphicData uri="http://schemas.microsoft.com/office/word/2010/wordprocessingGroup">
                    <wpg:wgp>
                      <wpg:cNvGrpSpPr/>
                      <wpg:grpSpPr>
                        <a:xfrm>
                          <a:off x="0" y="0"/>
                          <a:ext cx="2184400" cy="939165"/>
                          <a:chOff x="0" y="0"/>
                          <a:chExt cx="3440" cy="1478"/>
                        </a:xfrm>
                      </wpg:grpSpPr>
                      <wpg:grpSp>
                        <wpg:cNvPr id="18" name="组合 18"/>
                        <wpg:cNvGrpSpPr/>
                        <wpg:grpSpPr>
                          <a:xfrm>
                            <a:off x="10" y="10"/>
                            <a:ext cx="3420" cy="1468"/>
                            <a:chOff x="0" y="0"/>
                            <a:chExt cx="3420" cy="1468"/>
                          </a:xfrm>
                        </wpg:grpSpPr>
                        <wps:wsp>
                          <wps:cNvPr id="16" name="任意多边形 16"/>
                          <wps:cNvSpPr/>
                          <wps:spPr>
                            <a:xfrm>
                              <a:off x="0" y="0"/>
                              <a:ext cx="3420" cy="1458"/>
                            </a:xfrm>
                            <a:custGeom>
                              <a:avLst/>
                              <a:gdLst/>
                              <a:ahLst/>
                              <a:cxnLst/>
                              <a:pathLst>
                                <a:path w="3420" h="1458">
                                  <a:moveTo>
                                    <a:pt x="0" y="0"/>
                                  </a:moveTo>
                                  <a:lnTo>
                                    <a:pt x="570" y="0"/>
                                  </a:lnTo>
                                  <a:lnTo>
                                    <a:pt x="570" y="0"/>
                                  </a:lnTo>
                                  <a:lnTo>
                                    <a:pt x="1425" y="0"/>
                                  </a:lnTo>
                                  <a:lnTo>
                                    <a:pt x="3420" y="0"/>
                                  </a:lnTo>
                                  <a:lnTo>
                                    <a:pt x="3420" y="694"/>
                                  </a:lnTo>
                                  <a:lnTo>
                                    <a:pt x="3420" y="694"/>
                                  </a:lnTo>
                                  <a:lnTo>
                                    <a:pt x="3420" y="991"/>
                                  </a:lnTo>
                                  <a:lnTo>
                                    <a:pt x="3420" y="1190"/>
                                  </a:lnTo>
                                  <a:lnTo>
                                    <a:pt x="1425" y="1190"/>
                                  </a:lnTo>
                                  <a:lnTo>
                                    <a:pt x="1648" y="1458"/>
                                  </a:lnTo>
                                  <a:lnTo>
                                    <a:pt x="570" y="1190"/>
                                  </a:lnTo>
                                  <a:lnTo>
                                    <a:pt x="0" y="1190"/>
                                  </a:lnTo>
                                  <a:lnTo>
                                    <a:pt x="0" y="991"/>
                                  </a:lnTo>
                                  <a:lnTo>
                                    <a:pt x="0" y="694"/>
                                  </a:lnTo>
                                  <a:lnTo>
                                    <a:pt x="0" y="694"/>
                                  </a:lnTo>
                                  <a:lnTo>
                                    <a:pt x="0" y="0"/>
                                  </a:lnTo>
                                  <a:close/>
                                </a:path>
                              </a:pathLst>
                            </a:custGeom>
                            <a:solidFill>
                              <a:srgbClr val="FFFFFF"/>
                            </a:solidFill>
                            <a:ln>
                              <a:noFill/>
                            </a:ln>
                          </wps:spPr>
                          <wps:bodyPr upright="1"/>
                        </wps:wsp>
                        <wps:wsp>
                          <wps:cNvPr id="17" name="任意多边形 17"/>
                          <wps:cNvSpPr/>
                          <wps:spPr>
                            <a:xfrm>
                              <a:off x="567" y="1180"/>
                              <a:ext cx="1089" cy="288"/>
                            </a:xfrm>
                            <a:custGeom>
                              <a:avLst/>
                              <a:gdLst/>
                              <a:ahLst/>
                              <a:cxnLst/>
                              <a:pathLst>
                                <a:path w="1089" h="288">
                                  <a:moveTo>
                                    <a:pt x="857" y="9"/>
                                  </a:moveTo>
                                  <a:lnTo>
                                    <a:pt x="1081" y="278"/>
                                  </a:lnTo>
                                  <a:lnTo>
                                    <a:pt x="2" y="9"/>
                                  </a:lnTo>
                                </a:path>
                              </a:pathLst>
                            </a:custGeom>
                            <a:noFill/>
                            <a:ln w="12700" cap="flat" cmpd="sng">
                              <a:solidFill>
                                <a:srgbClr val="4472C4"/>
                              </a:solidFill>
                              <a:prstDash val="solid"/>
                              <a:miter lim="1000000"/>
                              <a:headEnd type="none" w="med" len="med"/>
                              <a:tailEnd type="none" w="med" len="med"/>
                            </a:ln>
                          </wps:spPr>
                          <wps:bodyPr upright="1"/>
                        </wps:wsp>
                      </wpg:grpSp>
                      <wps:wsp>
                        <wps:cNvPr id="19" name="文本框 19"/>
                        <wps:cNvSpPr txBox="1"/>
                        <wps:spPr>
                          <a:xfrm>
                            <a:off x="-20" y="-20"/>
                            <a:ext cx="3480" cy="1250"/>
                          </a:xfrm>
                          <a:prstGeom prst="rect">
                            <a:avLst/>
                          </a:prstGeom>
                          <a:noFill/>
                          <a:ln>
                            <a:noFill/>
                          </a:ln>
                        </wps:spPr>
                        <wps:txbx>
                          <w:txbxContent>
                            <w:p>
                              <w:pPr>
                                <w:spacing w:line="20" w:lineRule="exact"/>
                              </w:pPr>
                            </w:p>
                            <w:tbl>
                              <w:tblPr>
                                <w:tblStyle w:val="35"/>
                                <w:tblW w:w="342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342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1170" w:hRule="atLeast"/>
                                </w:trPr>
                                <w:tc>
                                  <w:tcPr>
                                    <w:tcW w:w="3420" w:type="dxa"/>
                                    <w:vAlign w:val="top"/>
                                  </w:tcPr>
                                  <w:p>
                                    <w:pPr>
                                      <w:spacing w:before="312" w:line="205" w:lineRule="auto"/>
                                      <w:ind w:left="164" w:right="126" w:hanging="8"/>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对于稿件的字体、字号、间距</w:t>
                                    </w:r>
                                    <w:r>
                                      <w:rPr>
                                        <w:rFonts w:hint="eastAsia" w:ascii="仿宋_GB2312" w:hAnsi="仿宋_GB2312" w:eastAsia="仿宋_GB2312" w:cs="仿宋_GB2312"/>
                                        <w:spacing w:val="-3"/>
                                        <w:sz w:val="21"/>
                                        <w:szCs w:val="21"/>
                                      </w:rPr>
                                      <w:t>等不作硬性规定，美观大方即可</w:t>
                                    </w:r>
                                    <w:r>
                                      <w:rPr>
                                        <w:rFonts w:ascii="微软雅黑" w:hAnsi="微软雅黑" w:eastAsia="微软雅黑" w:cs="微软雅黑"/>
                                        <w:spacing w:val="-3"/>
                                        <w:sz w:val="21"/>
                                        <w:szCs w:val="21"/>
                                      </w:rPr>
                                      <w:t>。</w:t>
                                    </w:r>
                                  </w:p>
                                </w:tc>
                              </w:tr>
                            </w:tbl>
                            <w:p>
                              <w:pPr>
                                <w:rPr>
                                  <w:rFonts w:ascii="Arial"/>
                                  <w:sz w:val="21"/>
                                </w:rPr>
                              </w:pPr>
                            </w:p>
                          </w:txbxContent>
                        </wps:txbx>
                        <wps:bodyPr lIns="0" tIns="0" rIns="0" bIns="0" upright="1"/>
                      </wps:wsp>
                    </wpg:wgp>
                  </a:graphicData>
                </a:graphic>
              </wp:inline>
            </w:drawing>
          </mc:Choice>
          <mc:Fallback>
            <w:pict>
              <v:group id="_x0000_s1026" o:spid="_x0000_s1026" o:spt="203" style="height:73.95pt;width:172pt;" coordsize="3440,1478" o:gfxdata="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L1Nge3VAAAABQEAAA8AAAAAAAAAAQAg&#10;AAAAIgAAAGRycy9kb3ducmV2LnhtbFBLAQIUABQAAAAIAIdO4kCcANr6EgQAAD4NAAAOAAAAAAAA&#10;AAEAIAAAACQBAABkcnMvZTJvRG9jLnhtbFBLBQYAAAAABgAGAFkBAACoBwAAAAA=&#10;">
                <o:lock v:ext="edit" aspectratio="f"/>
                <v:group id="_x0000_s1026" o:spid="_x0000_s1026" o:spt="203" style="position:absolute;left:10;top:10;height:1468;width:3420;" coordsize="3420,146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458;width:3420;" fillcolor="#FFFFFF" filled="t" stroked="f" coordsize="3420,1458" o:gfxdata="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4SXxugAAANsA&#10;AAAPAAAAAAAAAAEAIAAAACIAAABkcnMvZG93bnJldi54bWxQSwECFAAUAAAACACHTuJAMy8FnjsA&#10;AAA5AAAAEAAAAAAAAAABACAAAAAJAQAAZHJzL3NoYXBleG1sLnhtbFBLBQYAAAAABgAGAFsBAACz&#10;AwAAAAA=&#10;" path="m0,0l570,0,570,0,1425,0,3420,0,3420,694,3420,694,3420,991,3420,1190,1425,1190,1648,1458,570,1190,0,1190,0,991,0,694,0,694,0,0xe">
                    <v:fill on="t" focussize="0,0"/>
                    <v:stroke on="f"/>
                    <v:imagedata o:title=""/>
                    <o:lock v:ext="edit" aspectratio="f"/>
                  </v:shape>
                  <v:shape id="_x0000_s1026" o:spid="_x0000_s1026" o:spt="100" style="position:absolute;left:567;top:1180;height:288;width:1089;" filled="f" stroked="t" coordsize="1089,288" o:gfxdata="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peEBvQAA&#10;ANsAAAAPAAAAAAAAAAEAIAAAACIAAABkcnMvZG93bnJldi54bWxQSwECFAAUAAAACACHTuJAMy8F&#10;njsAAAA5AAAAEAAAAAAAAAABACAAAAAMAQAAZHJzL3NoYXBleG1sLnhtbFBLBQYAAAAABgAGAFsB&#10;AAC2AwAAAAA=&#10;" path="m857,9l1081,278,2,9e">
                    <v:fill on="f" focussize="0,0"/>
                    <v:stroke weight="1pt" color="#4472C4" miterlimit="10" joinstyle="miter"/>
                    <v:imagedata o:title=""/>
                    <o:lock v:ext="edit" aspectratio="f"/>
                  </v:shape>
                </v:group>
                <v:shape id="_x0000_s1026" o:spid="_x0000_s1026" o:spt="202" type="#_x0000_t202" style="position:absolute;left:-20;top:-20;height:1250;width:348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 w:lineRule="exact"/>
                        </w:pPr>
                      </w:p>
                      <w:tbl>
                        <w:tblPr>
                          <w:tblStyle w:val="35"/>
                          <w:tblW w:w="342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342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1170" w:hRule="atLeast"/>
                          </w:trPr>
                          <w:tc>
                            <w:tcPr>
                              <w:tcW w:w="3420" w:type="dxa"/>
                              <w:vAlign w:val="top"/>
                            </w:tcPr>
                            <w:p>
                              <w:pPr>
                                <w:spacing w:before="312" w:line="205" w:lineRule="auto"/>
                                <w:ind w:left="164" w:right="126" w:hanging="8"/>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对于稿件的字体、字号、间距</w:t>
                              </w:r>
                              <w:r>
                                <w:rPr>
                                  <w:rFonts w:hint="eastAsia" w:ascii="仿宋_GB2312" w:hAnsi="仿宋_GB2312" w:eastAsia="仿宋_GB2312" w:cs="仿宋_GB2312"/>
                                  <w:spacing w:val="-3"/>
                                  <w:sz w:val="21"/>
                                  <w:szCs w:val="21"/>
                                </w:rPr>
                                <w:t>等不作硬性规定，美观大方即可</w:t>
                              </w:r>
                              <w:r>
                                <w:rPr>
                                  <w:rFonts w:ascii="微软雅黑" w:hAnsi="微软雅黑" w:eastAsia="微软雅黑" w:cs="微软雅黑"/>
                                  <w:spacing w:val="-3"/>
                                  <w:sz w:val="21"/>
                                  <w:szCs w:val="21"/>
                                </w:rPr>
                                <w:t>。</w:t>
                              </w:r>
                            </w:p>
                          </w:tc>
                        </w:tr>
                      </w:tbl>
                      <w:p>
                        <w:pPr>
                          <w:rPr>
                            <w:rFonts w:ascii="Arial"/>
                            <w:sz w:val="21"/>
                          </w:rPr>
                        </w:pPr>
                      </w:p>
                    </w:txbxContent>
                  </v:textbox>
                </v:shape>
                <w10:wrap type="none"/>
                <w10:anchorlock/>
              </v:group>
            </w:pict>
          </mc:Fallback>
        </mc:AlternateContent>
      </w:r>
    </w:p>
    <w:p>
      <w:pPr>
        <w:spacing w:before="223" w:line="354" w:lineRule="auto"/>
        <w:ind w:left="23" w:right="83" w:firstLine="493"/>
        <w:jc w:val="both"/>
        <w:rPr>
          <w:rFonts w:ascii="宋体" w:hAnsi="宋体" w:eastAsia="宋体" w:cs="宋体"/>
          <w:sz w:val="24"/>
          <w:szCs w:val="24"/>
        </w:rPr>
      </w:pPr>
      <w:r>
        <w:rPr>
          <w:rFonts w:ascii="宋体" w:hAnsi="宋体" w:eastAsia="宋体" w:cs="宋体"/>
          <w:spacing w:val="-6"/>
          <w:sz w:val="24"/>
          <w:szCs w:val="24"/>
        </w:rPr>
        <w:t>随着产业升级与教育质量整体水平的提高，</w:t>
      </w:r>
      <w:r>
        <w:rPr>
          <w:rFonts w:ascii="宋体" w:hAnsi="宋体" w:eastAsia="宋体" w:cs="宋体"/>
          <w:spacing w:val="-7"/>
          <w:sz w:val="24"/>
          <w:szCs w:val="24"/>
        </w:rPr>
        <w:t>系统规划和举办职业本科教育已</w:t>
      </w:r>
      <w:r>
        <w:rPr>
          <w:rFonts w:ascii="宋体" w:hAnsi="宋体" w:eastAsia="宋体" w:cs="宋体"/>
          <w:spacing w:val="-2"/>
          <w:sz w:val="24"/>
          <w:szCs w:val="24"/>
        </w:rPr>
        <w:t>成了职业教育体系发展必须主动应对的时代课题。2019年1月24日国</w:t>
      </w:r>
      <w:r>
        <w:rPr>
          <w:rFonts w:ascii="宋体" w:hAnsi="宋体" w:eastAsia="宋体" w:cs="宋体"/>
          <w:spacing w:val="-3"/>
          <w:sz w:val="24"/>
          <w:szCs w:val="24"/>
        </w:rPr>
        <w:t>务院印发的</w:t>
      </w:r>
      <w:r>
        <w:rPr>
          <w:rFonts w:ascii="宋体" w:hAnsi="宋体" w:eastAsia="宋体" w:cs="宋体"/>
          <w:spacing w:val="-1"/>
          <w:sz w:val="24"/>
          <w:szCs w:val="24"/>
        </w:rPr>
        <w:t>《国家职业教育改革实施方案》文件明确了职业教育的类型地位</w:t>
      </w:r>
      <w:r>
        <w:rPr>
          <w:rFonts w:ascii="宋体" w:hAnsi="宋体" w:eastAsia="宋体" w:cs="宋体"/>
          <w:spacing w:val="-1"/>
          <w:position w:val="11"/>
          <w:sz w:val="12"/>
          <w:szCs w:val="12"/>
        </w:rPr>
        <w:t>[1]</w:t>
      </w:r>
      <w:r>
        <w:rPr>
          <w:rFonts w:ascii="宋体" w:hAnsi="宋体" w:eastAsia="宋体" w:cs="宋体"/>
          <w:spacing w:val="-2"/>
          <w:sz w:val="24"/>
          <w:szCs w:val="24"/>
        </w:rPr>
        <w:t>。既然是一种</w:t>
      </w:r>
      <w:r>
        <w:rPr>
          <w:rFonts w:ascii="宋体" w:hAnsi="宋体" w:eastAsia="宋体" w:cs="宋体"/>
          <w:spacing w:val="-11"/>
          <w:sz w:val="24"/>
          <w:szCs w:val="24"/>
        </w:rPr>
        <w:t>教育类型，就要根据产业发展需要完善职业教育办学层次，因</w:t>
      </w:r>
      <w:r>
        <w:rPr>
          <w:rFonts w:ascii="宋体" w:hAnsi="宋体" w:eastAsia="宋体" w:cs="宋体"/>
          <w:spacing w:val="-12"/>
          <w:sz w:val="24"/>
          <w:szCs w:val="24"/>
        </w:rPr>
        <w:t>此《方案》在政策</w:t>
      </w:r>
      <w:r>
        <w:rPr>
          <w:rFonts w:ascii="宋体" w:hAnsi="宋体" w:eastAsia="宋体" w:cs="宋体"/>
          <w:sz w:val="24"/>
          <w:szCs w:val="24"/>
        </w:rPr>
        <w:t xml:space="preserve"> </w:t>
      </w:r>
      <w:r>
        <w:rPr>
          <w:rFonts w:ascii="宋体" w:hAnsi="宋体" w:eastAsia="宋体" w:cs="宋体"/>
          <w:spacing w:val="-6"/>
          <w:sz w:val="24"/>
          <w:szCs w:val="24"/>
        </w:rPr>
        <w:t>措施上要求开展本科层次职业教育试点，并鼓励有条件的普通高校开办应用技术</w:t>
      </w:r>
      <w:r>
        <w:rPr>
          <w:rFonts w:ascii="宋体" w:hAnsi="宋体" w:eastAsia="宋体" w:cs="宋体"/>
          <w:spacing w:val="-5"/>
          <w:sz w:val="24"/>
          <w:szCs w:val="24"/>
        </w:rPr>
        <w:t>类型专业与课程。</w:t>
      </w:r>
    </w:p>
    <w:p>
      <w:pPr>
        <w:spacing w:before="175" w:line="219" w:lineRule="auto"/>
        <w:ind w:left="510"/>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一、什么是职业本科教育</w:t>
      </w:r>
    </w:p>
    <w:p>
      <w:pPr>
        <w:spacing w:before="175" w:line="354" w:lineRule="auto"/>
        <w:ind w:left="22" w:right="82" w:firstLine="496"/>
        <w:rPr>
          <w:rFonts w:ascii="宋体" w:hAnsi="宋体" w:eastAsia="宋体" w:cs="宋体"/>
          <w:sz w:val="24"/>
          <w:szCs w:val="24"/>
        </w:rPr>
      </w:pPr>
      <w:r>
        <w:rPr>
          <w:rFonts w:ascii="宋体" w:hAnsi="宋体" w:eastAsia="宋体" w:cs="宋体"/>
          <w:spacing w:val="-11"/>
          <w:sz w:val="24"/>
          <w:szCs w:val="24"/>
        </w:rPr>
        <w:t>当前，理论界对职业本科教育的提法比较混乱，国家有关政策文件中的相关</w:t>
      </w:r>
      <w:r>
        <w:rPr>
          <w:rFonts w:ascii="宋体" w:hAnsi="宋体" w:eastAsia="宋体" w:cs="宋体"/>
          <w:spacing w:val="-5"/>
          <w:sz w:val="24"/>
          <w:szCs w:val="24"/>
        </w:rPr>
        <w:t>表述也并不一致，有“本科层次职业教育”“本科职业教育</w:t>
      </w:r>
      <w:r>
        <w:rPr>
          <w:rFonts w:ascii="宋体" w:hAnsi="宋体" w:eastAsia="宋体" w:cs="宋体"/>
          <w:spacing w:val="-6"/>
          <w:sz w:val="24"/>
          <w:szCs w:val="24"/>
        </w:rPr>
        <w:t>”“高等职业教育本</w:t>
      </w:r>
      <w:r>
        <w:rPr>
          <w:rFonts w:ascii="宋体" w:hAnsi="宋体" w:eastAsia="宋体" w:cs="宋体"/>
          <w:spacing w:val="-3"/>
          <w:sz w:val="24"/>
          <w:szCs w:val="24"/>
        </w:rPr>
        <w:t>科”“职业教育本科”，或简称为“职教本科”“高职本科”“高职（本科）”</w:t>
      </w:r>
      <w:r>
        <w:rPr>
          <w:rFonts w:ascii="宋体" w:hAnsi="宋体" w:eastAsia="宋体" w:cs="宋体"/>
          <w:spacing w:val="-13"/>
          <w:sz w:val="24"/>
          <w:szCs w:val="24"/>
        </w:rPr>
        <w:t>等，莫衷一是。其实早在2011年，伍先福等就提出，“职业本科教育”比“本科</w:t>
      </w:r>
      <w:r>
        <w:rPr>
          <w:rFonts w:ascii="宋体" w:hAnsi="宋体" w:eastAsia="宋体" w:cs="宋体"/>
          <w:spacing w:val="-8"/>
          <w:sz w:val="24"/>
          <w:szCs w:val="24"/>
        </w:rPr>
        <w:t>层次职业教育”的提法更准确</w:t>
      </w:r>
      <w:r>
        <w:rPr>
          <w:rFonts w:ascii="宋体" w:hAnsi="宋体" w:eastAsia="宋体" w:cs="宋体"/>
          <w:spacing w:val="-8"/>
          <w:position w:val="11"/>
          <w:sz w:val="12"/>
          <w:szCs w:val="12"/>
        </w:rPr>
        <w:t>[2]</w:t>
      </w:r>
      <w:r>
        <w:rPr>
          <w:rFonts w:ascii="宋体" w:hAnsi="宋体" w:eastAsia="宋体" w:cs="宋体"/>
          <w:spacing w:val="-8"/>
          <w:sz w:val="24"/>
          <w:szCs w:val="24"/>
        </w:rPr>
        <w:t>，笔者比较认可</w:t>
      </w:r>
      <w:r>
        <w:rPr>
          <w:rFonts w:ascii="宋体" w:hAnsi="宋体" w:eastAsia="宋体" w:cs="宋体"/>
          <w:spacing w:val="-9"/>
          <w:sz w:val="24"/>
          <w:szCs w:val="24"/>
        </w:rPr>
        <w:t>这种观点。一方面，该提法把教</w:t>
      </w:r>
      <w:r>
        <w:rPr>
          <w:rFonts w:ascii="宋体" w:hAnsi="宋体" w:eastAsia="宋体" w:cs="宋体"/>
          <w:spacing w:val="-16"/>
          <w:sz w:val="24"/>
          <w:szCs w:val="24"/>
        </w:rPr>
        <w:t>育类型放前、教育层次放后，突出了类型的重要性；另一方面，该提法与“普通</w:t>
      </w:r>
      <w:r>
        <w:rPr>
          <w:rFonts w:ascii="宋体" w:hAnsi="宋体" w:eastAsia="宋体" w:cs="宋体"/>
          <w:spacing w:val="-2"/>
          <w:sz w:val="24"/>
          <w:szCs w:val="24"/>
        </w:rPr>
        <w:t>本科教育”相对应，更易于被社会公众接受和理解。</w:t>
      </w:r>
    </w:p>
    <w:p>
      <w:pPr>
        <w:spacing w:before="174" w:line="219" w:lineRule="auto"/>
        <w:ind w:left="510"/>
        <w:rPr>
          <w:rFonts w:ascii="宋体" w:hAnsi="宋体" w:eastAsia="宋体" w:cs="宋体"/>
          <w:sz w:val="24"/>
          <w:szCs w:val="24"/>
        </w:rPr>
      </w:pPr>
      <w:r>
        <w:rPr>
          <w:rFonts w:ascii="宋体" w:hAnsi="宋体" w:eastAsia="宋体" w:cs="宋体"/>
          <w:spacing w:val="-2"/>
          <w:sz w:val="24"/>
          <w:szCs w:val="24"/>
        </w:rPr>
        <w:t>（一）从人才类型、培养模式的特征界定职业本科教育</w:t>
      </w:r>
    </w:p>
    <w:p>
      <w:pPr>
        <w:spacing w:before="174" w:line="350" w:lineRule="auto"/>
        <w:ind w:left="22" w:firstLine="481"/>
        <w:rPr>
          <w:rFonts w:ascii="宋体" w:hAnsi="宋体" w:eastAsia="宋体" w:cs="宋体"/>
          <w:sz w:val="24"/>
          <w:szCs w:val="24"/>
        </w:rPr>
      </w:pPr>
      <w:r>
        <mc:AlternateContent>
          <mc:Choice Requires="wpg">
            <w:drawing>
              <wp:anchor distT="0" distB="0" distL="114300" distR="114300" simplePos="0" relativeHeight="251660288" behindDoc="0" locked="0" layoutInCell="1" allowOverlap="1">
                <wp:simplePos x="0" y="0"/>
                <wp:positionH relativeFrom="column">
                  <wp:posOffset>4130040</wp:posOffset>
                </wp:positionH>
                <wp:positionV relativeFrom="paragraph">
                  <wp:posOffset>-539115</wp:posOffset>
                </wp:positionV>
                <wp:extent cx="1174750" cy="724535"/>
                <wp:effectExtent l="19685" t="0" r="24765" b="24765"/>
                <wp:wrapNone/>
                <wp:docPr id="30" name="组合 30"/>
                <wp:cNvGraphicFramePr/>
                <a:graphic xmlns:a="http://schemas.openxmlformats.org/drawingml/2006/main">
                  <a:graphicData uri="http://schemas.microsoft.com/office/word/2010/wordprocessingGroup">
                    <wpg:wgp>
                      <wpg:cNvGrpSpPr/>
                      <wpg:grpSpPr>
                        <a:xfrm>
                          <a:off x="0" y="0"/>
                          <a:ext cx="1174750" cy="724535"/>
                          <a:chOff x="0" y="0"/>
                          <a:chExt cx="1850" cy="1140"/>
                        </a:xfrm>
                      </wpg:grpSpPr>
                      <wpg:grpSp>
                        <wpg:cNvPr id="28" name="组合 28"/>
                        <wpg:cNvGrpSpPr/>
                        <wpg:grpSpPr>
                          <a:xfrm>
                            <a:off x="9" y="10"/>
                            <a:ext cx="1831" cy="1130"/>
                            <a:chOff x="0" y="0"/>
                            <a:chExt cx="1831" cy="1130"/>
                          </a:xfrm>
                        </wpg:grpSpPr>
                        <wps:wsp>
                          <wps:cNvPr id="26" name="任意多边形 26"/>
                          <wps:cNvSpPr/>
                          <wps:spPr>
                            <a:xfrm>
                              <a:off x="0" y="0"/>
                              <a:ext cx="1830" cy="1120"/>
                            </a:xfrm>
                            <a:custGeom>
                              <a:avLst/>
                              <a:gdLst/>
                              <a:ahLst/>
                              <a:cxnLst/>
                              <a:pathLst>
                                <a:path w="1830" h="1120">
                                  <a:moveTo>
                                    <a:pt x="0" y="0"/>
                                  </a:moveTo>
                                  <a:lnTo>
                                    <a:pt x="305" y="0"/>
                                  </a:lnTo>
                                  <a:lnTo>
                                    <a:pt x="305" y="0"/>
                                  </a:lnTo>
                                  <a:lnTo>
                                    <a:pt x="762" y="0"/>
                                  </a:lnTo>
                                  <a:lnTo>
                                    <a:pt x="1830" y="0"/>
                                  </a:lnTo>
                                  <a:lnTo>
                                    <a:pt x="1830" y="507"/>
                                  </a:lnTo>
                                  <a:lnTo>
                                    <a:pt x="1830" y="507"/>
                                  </a:lnTo>
                                  <a:lnTo>
                                    <a:pt x="1830" y="724"/>
                                  </a:lnTo>
                                  <a:lnTo>
                                    <a:pt x="1830" y="870"/>
                                  </a:lnTo>
                                  <a:lnTo>
                                    <a:pt x="762" y="870"/>
                                  </a:lnTo>
                                  <a:lnTo>
                                    <a:pt x="5" y="1120"/>
                                  </a:lnTo>
                                  <a:lnTo>
                                    <a:pt x="305" y="870"/>
                                  </a:lnTo>
                                  <a:lnTo>
                                    <a:pt x="0" y="870"/>
                                  </a:lnTo>
                                  <a:lnTo>
                                    <a:pt x="0" y="724"/>
                                  </a:lnTo>
                                  <a:lnTo>
                                    <a:pt x="0" y="507"/>
                                  </a:lnTo>
                                  <a:lnTo>
                                    <a:pt x="0" y="507"/>
                                  </a:lnTo>
                                  <a:lnTo>
                                    <a:pt x="0" y="0"/>
                                  </a:lnTo>
                                  <a:close/>
                                </a:path>
                              </a:pathLst>
                            </a:custGeom>
                            <a:solidFill>
                              <a:srgbClr val="FFFFFF"/>
                            </a:solidFill>
                            <a:ln>
                              <a:noFill/>
                            </a:ln>
                          </wps:spPr>
                          <wps:bodyPr upright="1"/>
                        </wps:wsp>
                        <wps:wsp>
                          <wps:cNvPr id="27" name="任意多边形 27"/>
                          <wps:cNvSpPr/>
                          <wps:spPr>
                            <a:xfrm>
                              <a:off x="0" y="860"/>
                              <a:ext cx="766" cy="270"/>
                            </a:xfrm>
                            <a:custGeom>
                              <a:avLst/>
                              <a:gdLst/>
                              <a:ahLst/>
                              <a:cxnLst/>
                              <a:pathLst>
                                <a:path w="766" h="270">
                                  <a:moveTo>
                                    <a:pt x="763" y="9"/>
                                  </a:moveTo>
                                  <a:lnTo>
                                    <a:pt x="6" y="260"/>
                                  </a:lnTo>
                                  <a:lnTo>
                                    <a:pt x="305" y="9"/>
                                  </a:lnTo>
                                </a:path>
                              </a:pathLst>
                            </a:custGeom>
                            <a:noFill/>
                            <a:ln w="12700" cap="flat" cmpd="sng">
                              <a:solidFill>
                                <a:srgbClr val="4472C4"/>
                              </a:solidFill>
                              <a:prstDash val="solid"/>
                              <a:miter lim="1000000"/>
                              <a:headEnd type="none" w="med" len="med"/>
                              <a:tailEnd type="none" w="med" len="med"/>
                            </a:ln>
                          </wps:spPr>
                          <wps:bodyPr upright="1"/>
                        </wps:wsp>
                      </wpg:grpSp>
                      <wps:wsp>
                        <wps:cNvPr id="29" name="文本框 29"/>
                        <wps:cNvSpPr txBox="1"/>
                        <wps:spPr>
                          <a:xfrm>
                            <a:off x="-20" y="-20"/>
                            <a:ext cx="1890" cy="930"/>
                          </a:xfrm>
                          <a:prstGeom prst="rect">
                            <a:avLst/>
                          </a:prstGeom>
                          <a:noFill/>
                          <a:ln>
                            <a:noFill/>
                          </a:ln>
                        </wps:spPr>
                        <wps:txbx>
                          <w:txbxContent>
                            <w:p>
                              <w:pPr>
                                <w:spacing w:line="20" w:lineRule="exact"/>
                              </w:pPr>
                            </w:p>
                            <w:tbl>
                              <w:tblPr>
                                <w:tblStyle w:val="35"/>
                                <w:tblW w:w="183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183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850" w:hRule="atLeast"/>
                                </w:trPr>
                                <w:tc>
                                  <w:tcPr>
                                    <w:tcW w:w="1830" w:type="dxa"/>
                                    <w:vAlign w:val="top"/>
                                  </w:tcPr>
                                  <w:p>
                                    <w:pPr>
                                      <w:spacing w:before="151" w:line="206" w:lineRule="auto"/>
                                      <w:ind w:left="283" w:right="167" w:hanging="89"/>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引用上标应位于</w:t>
                                    </w:r>
                                    <w:r>
                                      <w:rPr>
                                        <w:rFonts w:hint="eastAsia" w:ascii="仿宋_GB2312" w:hAnsi="仿宋_GB2312" w:eastAsia="仿宋_GB2312" w:cs="仿宋_GB2312"/>
                                        <w:spacing w:val="-1"/>
                                        <w:sz w:val="21"/>
                                        <w:szCs w:val="21"/>
                                      </w:rPr>
                                      <w:t>标点符号内</w:t>
                                    </w:r>
                                    <w:r>
                                      <w:rPr>
                                        <w:rFonts w:ascii="微软雅黑" w:hAnsi="微软雅黑" w:eastAsia="微软雅黑" w:cs="微软雅黑"/>
                                        <w:spacing w:val="-1"/>
                                        <w:sz w:val="21"/>
                                        <w:szCs w:val="21"/>
                                      </w:rPr>
                                      <w:t>。</w:t>
                                    </w:r>
                                  </w:p>
                                </w:tc>
                              </w:tr>
                            </w:tbl>
                            <w:p>
                              <w:pPr>
                                <w:rPr>
                                  <w:rFonts w:ascii="Arial"/>
                                  <w:sz w:val="21"/>
                                </w:rPr>
                              </w:pPr>
                            </w:p>
                          </w:txbxContent>
                        </wps:txbx>
                        <wps:bodyPr lIns="0" tIns="0" rIns="0" bIns="0" upright="1"/>
                      </wps:wsp>
                    </wpg:wgp>
                  </a:graphicData>
                </a:graphic>
              </wp:anchor>
            </w:drawing>
          </mc:Choice>
          <mc:Fallback>
            <w:pict>
              <v:group id="_x0000_s1026" o:spid="_x0000_s1026" o:spt="203" style="position:absolute;left:0pt;margin-left:325.2pt;margin-top:-42.45pt;height:57.05pt;width:92.5pt;z-index:251660288;mso-width-relative:page;mso-height-relative:page;" coordsize="1850,1140" o:gfxdata="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CbdEGs2wAAAAoBAAAPAAAAAAAAAAEAIAAAACIAAABk&#10;cnMvZG93bnJldi54bWxQSwECFAAUAAAACACHTuJAM/ETzAQEAAAtDQAADgAAAAAAAAABACAAAAAq&#10;AQAAZHJzL2Uyb0RvYy54bWxQSwUGAAAAAAYABgBZAQAAoAcAAAAA&#10;">
                <o:lock v:ext="edit" aspectratio="f"/>
                <v:group id="_x0000_s1026" o:spid="_x0000_s1026" o:spt="203" style="position:absolute;left:9;top:10;height:1130;width:1831;" coordsize="1831,113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_x0000_s1026" o:spid="_x0000_s1026" o:spt="100" style="position:absolute;left:0;top:0;height:1120;width:1830;" fillcolor="#FFFFFF" filled="t" stroked="f" coordsize="1830,1120" o:gfxdata="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fskevQAA&#10;ANsAAAAPAAAAAAAAAAEAIAAAACIAAABkcnMvZG93bnJldi54bWxQSwECFAAUAAAACACHTuJAMy8F&#10;njsAAAA5AAAAEAAAAAAAAAABACAAAAAMAQAAZHJzL3NoYXBleG1sLnhtbFBLBQYAAAAABgAGAFsB&#10;AAC2AwAAAAA=&#10;" path="m0,0l305,0,305,0,762,0,1830,0,1830,507,1830,507,1830,724,1830,870,762,870,5,1120,305,870,0,870,0,724,0,507,0,507,0,0xe">
                    <v:fill on="t" focussize="0,0"/>
                    <v:stroke on="f"/>
                    <v:imagedata o:title=""/>
                    <o:lock v:ext="edit" aspectratio="f"/>
                  </v:shape>
                  <v:shape id="_x0000_s1026" o:spid="_x0000_s1026" o:spt="100" style="position:absolute;left:0;top:860;height:270;width:766;" filled="f" stroked="t" coordsize="766,270" o:gfxdata="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hOzr4A&#10;AADbAAAADwAAAAAAAAABACAAAAAiAAAAZHJzL2Rvd25yZXYueG1sUEsBAhQAFAAAAAgAh07iQDMv&#10;BZ47AAAAOQAAABAAAAAAAAAAAQAgAAAADQEAAGRycy9zaGFwZXhtbC54bWxQSwUGAAAAAAYABgBb&#10;AQAAtwMAAAAA&#10;" path="m763,9l6,260,305,9e">
                    <v:fill on="f" focussize="0,0"/>
                    <v:stroke weight="1pt" color="#4472C4" miterlimit="10" joinstyle="miter"/>
                    <v:imagedata o:title=""/>
                    <o:lock v:ext="edit" aspectratio="f"/>
                  </v:shape>
                </v:group>
                <v:shape id="_x0000_s1026" o:spid="_x0000_s1026" o:spt="202" type="#_x0000_t202" style="position:absolute;left:-20;top:-20;height:930;width:1890;"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 w:lineRule="exact"/>
                        </w:pPr>
                      </w:p>
                      <w:tbl>
                        <w:tblPr>
                          <w:tblStyle w:val="35"/>
                          <w:tblW w:w="1830" w:type="dxa"/>
                          <w:tblInd w:w="30" w:type="dxa"/>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Layout w:type="fixed"/>
                          <w:tblCellMar>
                            <w:top w:w="0" w:type="dxa"/>
                            <w:left w:w="0" w:type="dxa"/>
                            <w:bottom w:w="0" w:type="dxa"/>
                            <w:right w:w="0" w:type="dxa"/>
                          </w:tblCellMar>
                        </w:tblPr>
                        <w:tblGrid>
                          <w:gridCol w:w="1830"/>
                        </w:tblGrid>
                        <w:tr>
                          <w:tblPrEx>
                            <w:tblBorders>
                              <w:top w:val="single" w:color="4472C4" w:sz="8" w:space="0"/>
                              <w:left w:val="single" w:color="4472C4" w:sz="8" w:space="0"/>
                              <w:bottom w:val="single" w:color="4472C4" w:sz="8" w:space="0"/>
                              <w:right w:val="single" w:color="4472C4" w:sz="8" w:space="0"/>
                              <w:insideH w:val="none" w:color="auto" w:sz="0" w:space="0"/>
                              <w:insideV w:val="none" w:color="auto" w:sz="0" w:space="0"/>
                            </w:tblBorders>
                            <w:tblCellMar>
                              <w:top w:w="0" w:type="dxa"/>
                              <w:left w:w="0" w:type="dxa"/>
                              <w:bottom w:w="0" w:type="dxa"/>
                              <w:right w:w="0" w:type="dxa"/>
                            </w:tblCellMar>
                          </w:tblPrEx>
                          <w:trPr>
                            <w:trHeight w:val="850" w:hRule="atLeast"/>
                          </w:trPr>
                          <w:tc>
                            <w:tcPr>
                              <w:tcW w:w="1830" w:type="dxa"/>
                              <w:vAlign w:val="top"/>
                            </w:tcPr>
                            <w:p>
                              <w:pPr>
                                <w:spacing w:before="151" w:line="206" w:lineRule="auto"/>
                                <w:ind w:left="283" w:right="167" w:hanging="89"/>
                                <w:rPr>
                                  <w:rFonts w:ascii="微软雅黑" w:hAnsi="微软雅黑" w:eastAsia="微软雅黑" w:cs="微软雅黑"/>
                                  <w:sz w:val="21"/>
                                  <w:szCs w:val="21"/>
                                </w:rPr>
                              </w:pPr>
                              <w:r>
                                <w:rPr>
                                  <w:rFonts w:hint="eastAsia" w:ascii="仿宋_GB2312" w:hAnsi="仿宋_GB2312" w:eastAsia="仿宋_GB2312" w:cs="仿宋_GB2312"/>
                                  <w:spacing w:val="-4"/>
                                  <w:sz w:val="21"/>
                                  <w:szCs w:val="21"/>
                                </w:rPr>
                                <w:t>引用上标应位于</w:t>
                              </w:r>
                              <w:r>
                                <w:rPr>
                                  <w:rFonts w:hint="eastAsia" w:ascii="仿宋_GB2312" w:hAnsi="仿宋_GB2312" w:eastAsia="仿宋_GB2312" w:cs="仿宋_GB2312"/>
                                  <w:spacing w:val="-1"/>
                                  <w:sz w:val="21"/>
                                  <w:szCs w:val="21"/>
                                </w:rPr>
                                <w:t>标点符号内</w:t>
                              </w:r>
                              <w:r>
                                <w:rPr>
                                  <w:rFonts w:ascii="微软雅黑" w:hAnsi="微软雅黑" w:eastAsia="微软雅黑" w:cs="微软雅黑"/>
                                  <w:spacing w:val="-1"/>
                                  <w:sz w:val="21"/>
                                  <w:szCs w:val="21"/>
                                </w:rPr>
                                <w:t>。</w:t>
                              </w:r>
                            </w:p>
                          </w:tc>
                        </w:tr>
                      </w:tbl>
                      <w:p>
                        <w:pPr>
                          <w:rPr>
                            <w:rFonts w:ascii="Arial"/>
                            <w:sz w:val="21"/>
                          </w:rPr>
                        </w:pPr>
                      </w:p>
                    </w:txbxContent>
                  </v:textbox>
                </v:shape>
              </v:group>
            </w:pict>
          </mc:Fallback>
        </mc:AlternateContent>
      </w:r>
      <w:r>
        <w:rPr>
          <w:rFonts w:ascii="宋体" w:hAnsi="宋体" w:eastAsia="宋体" w:cs="宋体"/>
          <w:spacing w:val="-10"/>
          <w:sz w:val="24"/>
          <w:szCs w:val="24"/>
        </w:rPr>
        <w:t>职业本科教育是具有高等教育属性的职业技术教育，</w:t>
      </w:r>
      <w:r>
        <w:rPr>
          <w:rFonts w:ascii="宋体" w:hAnsi="宋体" w:eastAsia="宋体" w:cs="宋体"/>
          <w:spacing w:val="-40"/>
          <w:sz w:val="24"/>
          <w:szCs w:val="24"/>
        </w:rPr>
        <w:t xml:space="preserve"> </w:t>
      </w:r>
      <w:r>
        <w:rPr>
          <w:rFonts w:ascii="宋体" w:hAnsi="宋体" w:eastAsia="宋体" w:cs="宋体"/>
          <w:spacing w:val="-10"/>
          <w:sz w:val="24"/>
          <w:szCs w:val="24"/>
        </w:rPr>
        <w:t>面向基层，培养会动手、</w:t>
      </w:r>
      <w:r>
        <w:rPr>
          <w:rFonts w:ascii="宋体" w:hAnsi="宋体" w:eastAsia="宋体" w:cs="宋体"/>
          <w:sz w:val="24"/>
          <w:szCs w:val="24"/>
        </w:rPr>
        <w:t xml:space="preserve"> </w:t>
      </w:r>
      <w:r>
        <w:rPr>
          <w:rFonts w:ascii="宋体" w:hAnsi="宋体" w:eastAsia="宋体" w:cs="宋体"/>
          <w:spacing w:val="-2"/>
          <w:sz w:val="24"/>
          <w:szCs w:val="24"/>
        </w:rPr>
        <w:t>会研发、会管理、会发展的“四会型”高等职业技术</w:t>
      </w:r>
      <w:r>
        <w:rPr>
          <w:rFonts w:ascii="宋体" w:hAnsi="宋体" w:eastAsia="宋体" w:cs="宋体"/>
          <w:spacing w:val="-3"/>
          <w:sz w:val="24"/>
          <w:szCs w:val="24"/>
        </w:rPr>
        <w:t>人才</w:t>
      </w:r>
      <w:r>
        <w:rPr>
          <w:rFonts w:ascii="宋体" w:hAnsi="宋体" w:eastAsia="宋体" w:cs="宋体"/>
          <w:spacing w:val="-3"/>
          <w:position w:val="11"/>
          <w:sz w:val="12"/>
          <w:szCs w:val="12"/>
        </w:rPr>
        <w:t>[3]</w:t>
      </w:r>
      <w:r>
        <w:rPr>
          <w:rFonts w:ascii="宋体" w:hAnsi="宋体" w:eastAsia="宋体" w:cs="宋体"/>
          <w:spacing w:val="-28"/>
          <w:position w:val="11"/>
          <w:sz w:val="12"/>
          <w:szCs w:val="12"/>
        </w:rPr>
        <w:t xml:space="preserve"> </w:t>
      </w:r>
      <w:r>
        <w:rPr>
          <w:rFonts w:ascii="宋体" w:hAnsi="宋体" w:eastAsia="宋体" w:cs="宋体"/>
          <w:spacing w:val="-3"/>
          <w:sz w:val="24"/>
          <w:szCs w:val="24"/>
        </w:rPr>
        <w:t xml:space="preserve">。职业本科就是面向 </w:t>
      </w:r>
      <w:r>
        <w:rPr>
          <w:rFonts w:ascii="宋体" w:hAnsi="宋体" w:eastAsia="宋体" w:cs="宋体"/>
          <w:spacing w:val="4"/>
          <w:sz w:val="24"/>
          <w:szCs w:val="24"/>
        </w:rPr>
        <w:t>行业产业的高端领域培养具备新技术应用与应用技术研发能力人才的本科层次</w:t>
      </w:r>
    </w:p>
    <w:p>
      <w:pPr>
        <w:spacing w:before="1" w:line="231" w:lineRule="auto"/>
        <w:ind w:left="24"/>
        <w:rPr>
          <w:rFonts w:ascii="宋体" w:hAnsi="宋体" w:eastAsia="宋体" w:cs="宋体"/>
          <w:sz w:val="24"/>
          <w:szCs w:val="24"/>
        </w:rPr>
      </w:pPr>
      <w:r>
        <w:rPr>
          <w:rFonts w:ascii="宋体" w:hAnsi="宋体" w:eastAsia="宋体" w:cs="宋体"/>
          <w:spacing w:val="-9"/>
          <w:sz w:val="24"/>
          <w:szCs w:val="24"/>
        </w:rPr>
        <w:t>职业教育，</w:t>
      </w:r>
      <w:r>
        <w:rPr>
          <w:rFonts w:ascii="宋体" w:hAnsi="宋体" w:eastAsia="宋体" w:cs="宋体"/>
          <w:spacing w:val="-42"/>
          <w:sz w:val="24"/>
          <w:szCs w:val="24"/>
        </w:rPr>
        <w:t xml:space="preserve"> </w:t>
      </w:r>
      <w:r>
        <w:rPr>
          <w:rFonts w:ascii="宋体" w:hAnsi="宋体" w:eastAsia="宋体" w:cs="宋体"/>
          <w:spacing w:val="-9"/>
          <w:sz w:val="24"/>
          <w:szCs w:val="24"/>
        </w:rPr>
        <w:t>其类型是职业教育、场域是产业、特</w:t>
      </w:r>
      <w:r>
        <w:rPr>
          <w:rFonts w:ascii="宋体" w:hAnsi="宋体" w:eastAsia="宋体" w:cs="宋体"/>
          <w:spacing w:val="-10"/>
          <w:sz w:val="24"/>
          <w:szCs w:val="24"/>
        </w:rPr>
        <w:t>征是新技术、位阶是本科层次</w:t>
      </w:r>
      <w:r>
        <w:rPr>
          <w:rFonts w:ascii="宋体" w:hAnsi="宋体" w:eastAsia="宋体" w:cs="宋体"/>
          <w:spacing w:val="-10"/>
          <w:position w:val="11"/>
          <w:sz w:val="12"/>
          <w:szCs w:val="12"/>
        </w:rPr>
        <w:t>[4]</w:t>
      </w:r>
      <w:r>
        <w:rPr>
          <w:rFonts w:ascii="宋体" w:hAnsi="宋体" w:eastAsia="宋体" w:cs="宋体"/>
          <w:spacing w:val="-10"/>
          <w:sz w:val="24"/>
          <w:szCs w:val="24"/>
        </w:rPr>
        <w:t>。</w:t>
      </w:r>
    </w:p>
    <w:p>
      <w:pPr>
        <w:spacing w:before="177" w:line="219" w:lineRule="auto"/>
        <w:ind w:left="510"/>
        <w:rPr>
          <w:rFonts w:ascii="宋体" w:hAnsi="宋体" w:eastAsia="宋体" w:cs="宋体"/>
          <w:sz w:val="24"/>
          <w:szCs w:val="24"/>
        </w:rPr>
      </w:pPr>
      <w:r>
        <w:rPr>
          <w:rFonts w:ascii="宋体" w:hAnsi="宋体" w:eastAsia="宋体" w:cs="宋体"/>
          <w:spacing w:val="-1"/>
          <w:sz w:val="24"/>
          <w:szCs w:val="24"/>
        </w:rPr>
        <w:t>（二）从职业本科教育与其他教育类型关系的维度明确其定位</w:t>
      </w:r>
    </w:p>
    <w:p>
      <w:pPr>
        <w:spacing w:before="173" w:line="351" w:lineRule="auto"/>
        <w:ind w:left="23" w:right="84" w:firstLine="478"/>
        <w:rPr>
          <w:rFonts w:ascii="宋体" w:hAnsi="宋体" w:eastAsia="宋体" w:cs="宋体"/>
          <w:sz w:val="24"/>
          <w:szCs w:val="24"/>
        </w:rPr>
      </w:pPr>
      <w:r>
        <w:rPr>
          <w:rFonts w:ascii="宋体" w:hAnsi="宋体" w:eastAsia="宋体" w:cs="宋体"/>
          <w:spacing w:val="-6"/>
          <w:sz w:val="24"/>
          <w:szCs w:val="24"/>
        </w:rPr>
        <w:t>在本科层次分化出职业教育类型具有历史必然性，职业本科教育是定位于培</w:t>
      </w:r>
      <w:r>
        <w:rPr>
          <w:rFonts w:ascii="宋体" w:hAnsi="宋体" w:eastAsia="宋体" w:cs="宋体"/>
          <w:spacing w:val="-10"/>
          <w:sz w:val="24"/>
          <w:szCs w:val="24"/>
        </w:rPr>
        <w:t>养技术应用型人才，且应归类于高等职业教</w:t>
      </w:r>
      <w:r>
        <w:rPr>
          <w:rFonts w:ascii="宋体" w:hAnsi="宋体" w:eastAsia="宋体" w:cs="宋体"/>
          <w:spacing w:val="-11"/>
          <w:sz w:val="24"/>
          <w:szCs w:val="24"/>
        </w:rPr>
        <w:t>育的教育类型</w:t>
      </w:r>
      <w:r>
        <w:rPr>
          <w:rFonts w:ascii="宋体" w:hAnsi="宋体" w:eastAsia="宋体" w:cs="宋体"/>
          <w:spacing w:val="-11"/>
          <w:position w:val="11"/>
          <w:sz w:val="12"/>
          <w:szCs w:val="12"/>
        </w:rPr>
        <w:t>[5]</w:t>
      </w:r>
      <w:r>
        <w:rPr>
          <w:rFonts w:ascii="宋体" w:hAnsi="宋体" w:eastAsia="宋体" w:cs="宋体"/>
          <w:spacing w:val="-11"/>
          <w:sz w:val="24"/>
          <w:szCs w:val="24"/>
        </w:rPr>
        <w:t>。马燕认为，职业本</w:t>
      </w:r>
      <w:r>
        <w:rPr>
          <w:rFonts w:ascii="宋体" w:hAnsi="宋体" w:eastAsia="宋体" w:cs="宋体"/>
          <w:spacing w:val="-6"/>
          <w:sz w:val="24"/>
          <w:szCs w:val="24"/>
        </w:rPr>
        <w:t>科教育是一种建立在中等、专科层次职业教育基础上的本</w:t>
      </w:r>
      <w:r>
        <w:rPr>
          <w:rFonts w:ascii="宋体" w:hAnsi="宋体" w:eastAsia="宋体" w:cs="宋体"/>
          <w:spacing w:val="-7"/>
          <w:sz w:val="24"/>
          <w:szCs w:val="24"/>
        </w:rPr>
        <w:t>科层次教育，是以培养</w:t>
      </w:r>
      <w:r>
        <w:rPr>
          <w:rFonts w:ascii="宋体" w:hAnsi="宋体" w:eastAsia="宋体" w:cs="宋体"/>
          <w:spacing w:val="-6"/>
          <w:sz w:val="24"/>
          <w:szCs w:val="24"/>
        </w:rPr>
        <w:t>高层次技术应用型人才为目标， 有计划、有组织地提高学生</w:t>
      </w:r>
      <w:r>
        <w:rPr>
          <w:rFonts w:ascii="宋体" w:hAnsi="宋体" w:eastAsia="宋体" w:cs="宋体"/>
          <w:spacing w:val="-7"/>
          <w:sz w:val="24"/>
          <w:szCs w:val="24"/>
        </w:rPr>
        <w:t>的职业技能和综合素</w:t>
      </w:r>
      <w:r>
        <w:rPr>
          <w:rFonts w:ascii="宋体" w:hAnsi="宋体" w:eastAsia="宋体" w:cs="宋体"/>
          <w:spacing w:val="-1"/>
          <w:sz w:val="24"/>
          <w:szCs w:val="24"/>
        </w:rPr>
        <w:t>养，并使其取得相应资格证书的学校职业教育</w:t>
      </w:r>
      <w:r>
        <w:rPr>
          <w:rFonts w:ascii="宋体" w:hAnsi="宋体" w:eastAsia="宋体" w:cs="宋体"/>
          <w:spacing w:val="-1"/>
          <w:position w:val="11"/>
          <w:sz w:val="12"/>
          <w:szCs w:val="12"/>
        </w:rPr>
        <w:t>[6]</w:t>
      </w:r>
      <w:r>
        <w:rPr>
          <w:rFonts w:ascii="宋体" w:hAnsi="宋体" w:eastAsia="宋体" w:cs="宋体"/>
          <w:spacing w:val="-1"/>
          <w:sz w:val="24"/>
          <w:szCs w:val="24"/>
        </w:rPr>
        <w:t>。</w:t>
      </w:r>
    </w:p>
    <w:p>
      <w:pPr>
        <w:spacing w:line="231" w:lineRule="auto"/>
        <w:rPr>
          <w:rFonts w:ascii="宋体" w:hAnsi="宋体" w:eastAsia="宋体" w:cs="宋体"/>
          <w:sz w:val="24"/>
          <w:szCs w:val="24"/>
        </w:rPr>
        <w:sectPr>
          <w:pgSz w:w="11907" w:h="16839"/>
          <w:pgMar w:top="1431" w:right="1714" w:bottom="0" w:left="1785" w:header="0" w:footer="0" w:gutter="0"/>
          <w:cols w:space="720" w:num="1"/>
        </w:sectPr>
      </w:pPr>
    </w:p>
    <w:p>
      <w:pPr>
        <w:spacing w:before="163" w:line="242" w:lineRule="auto"/>
        <w:ind w:left="23"/>
        <w:rPr>
          <w:rFonts w:ascii="黑体" w:hAnsi="黑体" w:eastAsia="黑体" w:cs="黑体"/>
          <w:sz w:val="24"/>
          <w:szCs w:val="24"/>
        </w:rPr>
      </w:pPr>
      <w:r>
        <w:rPr>
          <w:rFonts w:ascii="黑体" w:hAnsi="黑体" w:eastAsia="黑体" w:cs="黑体"/>
          <w:spacing w:val="-2"/>
          <w:sz w:val="24"/>
          <w:szCs w:val="24"/>
          <w14:textOutline w14:w="4354" w14:cap="flat" w14:cmpd="sng">
            <w14:solidFill>
              <w14:srgbClr w14:val="000000"/>
            </w14:solidFill>
            <w14:prstDash w14:val="solid"/>
            <w14:miter w14:val="0"/>
          </w14:textOutline>
        </w:rPr>
        <w:t>参考文献：</w:t>
      </w:r>
    </w:p>
    <w:p>
      <w:pPr>
        <w:spacing w:before="152" w:line="369" w:lineRule="auto"/>
        <w:ind w:left="438" w:right="10" w:hanging="40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国务院关于印发国家职业教育改革实施方案的通知（国</w:t>
      </w:r>
      <w:r>
        <w:rPr>
          <w:rFonts w:ascii="宋体" w:hAnsi="宋体" w:eastAsia="宋体" w:cs="宋体"/>
          <w:spacing w:val="-4"/>
          <w:sz w:val="24"/>
          <w:szCs w:val="24"/>
        </w:rPr>
        <w:t>发〔</w:t>
      </w:r>
      <w:r>
        <w:rPr>
          <w:rFonts w:ascii="Times New Roman" w:hAnsi="Times New Roman" w:eastAsia="Times New Roman" w:cs="Times New Roman"/>
          <w:spacing w:val="-4"/>
          <w:sz w:val="24"/>
          <w:szCs w:val="24"/>
        </w:rPr>
        <w:t>2019</w:t>
      </w: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号</w:t>
      </w:r>
      <w:r>
        <w:rPr>
          <w:rFonts w:ascii="宋体" w:hAnsi="宋体" w:eastAsia="宋体" w:cs="宋体"/>
          <w:spacing w:val="-17"/>
          <w:sz w:val="24"/>
          <w:szCs w:val="24"/>
        </w:rPr>
        <w:t>）</w:t>
      </w:r>
      <w:r>
        <w:rPr>
          <w:rFonts w:ascii="Times New Roman" w:hAnsi="Times New Roman" w:eastAsia="Times New Roman" w:cs="Times New Roman"/>
          <w:spacing w:val="-1"/>
          <w:sz w:val="24"/>
          <w:szCs w:val="24"/>
        </w:rPr>
        <w:t>[</w:t>
      </w:r>
      <w:r>
        <w:rPr>
          <w:rFonts w:ascii="宋体" w:hAnsi="宋体" w:eastAsia="宋体" w:cs="宋体"/>
          <w:spacing w:val="-76"/>
          <w:sz w:val="24"/>
          <w:szCs w:val="24"/>
        </w:rPr>
        <w:t xml:space="preserve"> </w:t>
      </w:r>
      <w:r>
        <w:rPr>
          <w:rFonts w:ascii="Times New Roman" w:hAnsi="Times New Roman" w:eastAsia="Times New Roman" w:cs="Times New Roman"/>
          <w:spacing w:val="-4"/>
          <w:sz w:val="24"/>
          <w:szCs w:val="24"/>
        </w:rPr>
        <w:t>E</w:t>
      </w:r>
      <w:r>
        <w:rPr>
          <w:rFonts w:ascii="Times New Roman" w:hAnsi="Times New Roman" w:eastAsia="Times New Roman" w:cs="Times New Roman"/>
          <w:spacing w:val="-1"/>
          <w:sz w:val="24"/>
          <w:szCs w:val="24"/>
        </w:rPr>
        <w:t>B/OL].</w:t>
      </w:r>
      <w:r>
        <w:rPr>
          <w:rFonts w:ascii="宋体" w:hAnsi="宋体" w:eastAsia="宋体" w:cs="宋体"/>
          <w:spacing w:val="-1"/>
          <w:sz w:val="24"/>
          <w:szCs w:val="24"/>
        </w:rPr>
        <w:t>（</w:t>
      </w:r>
      <w:r>
        <w:rPr>
          <w:rFonts w:ascii="Times New Roman" w:hAnsi="Times New Roman" w:eastAsia="Times New Roman" w:cs="Times New Roman"/>
          <w:spacing w:val="-1"/>
          <w:sz w:val="24"/>
          <w:szCs w:val="24"/>
        </w:rPr>
        <w:t>2019-01-24</w:t>
      </w:r>
      <w:r>
        <w:rPr>
          <w:rFonts w:ascii="宋体" w:hAnsi="宋体" w:eastAsia="宋体" w:cs="宋体"/>
          <w:spacing w:val="-1"/>
          <w:sz w:val="24"/>
          <w:szCs w:val="24"/>
        </w:rPr>
        <w:t>）</w:t>
      </w:r>
      <w:r>
        <w:rPr>
          <w:rFonts w:ascii="Times New Roman" w:hAnsi="Times New Roman" w:eastAsia="Times New Roman" w:cs="Times New Roman"/>
          <w:spacing w:val="-1"/>
          <w:sz w:val="24"/>
          <w:szCs w:val="24"/>
        </w:rPr>
        <w:t>[2022-03-01].</w:t>
      </w:r>
      <w:r>
        <w:fldChar w:fldCharType="begin"/>
      </w:r>
      <w:r>
        <w:instrText xml:space="preserve"> HYPERLINK "http://www.gov.cn/zhengce/content/2019" </w:instrText>
      </w:r>
      <w:r>
        <w:fldChar w:fldCharType="separate"/>
      </w:r>
      <w:r>
        <w:rPr>
          <w:rFonts w:ascii="Times New Roman" w:hAnsi="Times New Roman" w:eastAsia="Times New Roman" w:cs="Times New Roman"/>
          <w:spacing w:val="-1"/>
          <w:sz w:val="24"/>
          <w:szCs w:val="24"/>
        </w:rPr>
        <w:t>http://www.gov.cn/zhengce/content/20</w:t>
      </w:r>
      <w:r>
        <w:rPr>
          <w:rFonts w:ascii="Times New Roman" w:hAnsi="Times New Roman" w:eastAsia="Times New Roman" w:cs="Times New Roman"/>
          <w:spacing w:val="-2"/>
          <w:sz w:val="24"/>
          <w:szCs w:val="24"/>
        </w:rPr>
        <w:t>19</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w:t>
      </w:r>
    </w:p>
    <w:p>
      <w:pPr>
        <w:spacing w:line="192" w:lineRule="auto"/>
        <w:ind w:left="4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02/13/content_5365341.htm</w:t>
      </w:r>
    </w:p>
    <w:p>
      <w:pPr>
        <w:spacing w:before="200" w:line="461" w:lineRule="exact"/>
        <w:ind w:left="34"/>
        <w:rPr>
          <w:rFonts w:ascii="宋体" w:hAnsi="宋体" w:eastAsia="宋体" w:cs="宋体"/>
          <w:sz w:val="24"/>
          <w:szCs w:val="24"/>
        </w:rPr>
      </w:pPr>
      <w:r>
        <w:rPr>
          <w:rFonts w:ascii="Times New Roman" w:hAnsi="Times New Roman" w:eastAsia="Times New Roman" w:cs="Times New Roman"/>
          <w:spacing w:val="-1"/>
          <w:position w:val="17"/>
          <w:sz w:val="24"/>
          <w:szCs w:val="24"/>
        </w:rPr>
        <w:t>[2]</w:t>
      </w:r>
      <w:r>
        <w:rPr>
          <w:rFonts w:ascii="宋体" w:hAnsi="宋体" w:eastAsia="宋体" w:cs="宋体"/>
          <w:spacing w:val="-1"/>
          <w:position w:val="17"/>
          <w:sz w:val="24"/>
          <w:szCs w:val="24"/>
        </w:rPr>
        <w:t>伍先福，陈攀</w:t>
      </w:r>
      <w:r>
        <w:rPr>
          <w:rFonts w:ascii="Times New Roman" w:hAnsi="Times New Roman" w:eastAsia="Times New Roman" w:cs="Times New Roman"/>
          <w:spacing w:val="-1"/>
          <w:position w:val="17"/>
          <w:sz w:val="24"/>
          <w:szCs w:val="24"/>
        </w:rPr>
        <w:t>.</w:t>
      </w:r>
      <w:r>
        <w:rPr>
          <w:rFonts w:ascii="宋体" w:hAnsi="宋体" w:eastAsia="宋体" w:cs="宋体"/>
          <w:spacing w:val="-1"/>
          <w:position w:val="17"/>
          <w:sz w:val="24"/>
          <w:szCs w:val="24"/>
        </w:rPr>
        <w:t>职业本科教育的内涵及其办学主体［</w:t>
      </w:r>
      <w:r>
        <w:rPr>
          <w:rFonts w:ascii="Times New Roman" w:hAnsi="Times New Roman" w:eastAsia="Times New Roman" w:cs="Times New Roman"/>
          <w:spacing w:val="-1"/>
          <w:position w:val="17"/>
          <w:sz w:val="24"/>
          <w:szCs w:val="24"/>
        </w:rPr>
        <w:t>J</w:t>
      </w:r>
      <w:r>
        <w:rPr>
          <w:rFonts w:ascii="宋体" w:hAnsi="宋体" w:eastAsia="宋体" w:cs="宋体"/>
          <w:spacing w:val="-1"/>
          <w:position w:val="17"/>
          <w:sz w:val="24"/>
          <w:szCs w:val="24"/>
        </w:rPr>
        <w:t>］</w:t>
      </w:r>
      <w:r>
        <w:rPr>
          <w:rFonts w:ascii="Times New Roman" w:hAnsi="Times New Roman" w:eastAsia="Times New Roman" w:cs="Times New Roman"/>
          <w:spacing w:val="-1"/>
          <w:position w:val="17"/>
          <w:sz w:val="24"/>
          <w:szCs w:val="24"/>
        </w:rPr>
        <w:t>.</w:t>
      </w:r>
      <w:r>
        <w:rPr>
          <w:rFonts w:ascii="宋体" w:hAnsi="宋体" w:eastAsia="宋体" w:cs="宋体"/>
          <w:spacing w:val="-1"/>
          <w:position w:val="17"/>
          <w:sz w:val="24"/>
          <w:szCs w:val="24"/>
        </w:rPr>
        <w:t>四川教育学院学</w:t>
      </w:r>
    </w:p>
    <w:p>
      <w:pPr>
        <w:spacing w:line="219" w:lineRule="auto"/>
        <w:ind w:left="441"/>
        <w:rPr>
          <w:rFonts w:ascii="Times New Roman" w:hAnsi="Times New Roman" w:eastAsia="Times New Roman" w:cs="Times New Roman"/>
          <w:sz w:val="24"/>
          <w:szCs w:val="24"/>
        </w:rPr>
      </w:pPr>
      <w:r>
        <w:rPr>
          <w:rFonts w:ascii="宋体" w:hAnsi="宋体" w:eastAsia="宋体" w:cs="宋体"/>
          <w:spacing w:val="-11"/>
          <w:sz w:val="24"/>
          <w:szCs w:val="24"/>
        </w:rPr>
        <w:t>报，</w:t>
      </w:r>
      <w:r>
        <w:rPr>
          <w:rFonts w:ascii="Times New Roman" w:hAnsi="Times New Roman" w:eastAsia="Times New Roman" w:cs="Times New Roman"/>
          <w:spacing w:val="-11"/>
          <w:sz w:val="24"/>
          <w:szCs w:val="24"/>
        </w:rPr>
        <w:t>2011</w:t>
      </w:r>
      <w:r>
        <w:rPr>
          <w:rFonts w:ascii="宋体" w:hAnsi="宋体" w:eastAsia="宋体" w:cs="宋体"/>
          <w:spacing w:val="-11"/>
          <w:sz w:val="24"/>
          <w:szCs w:val="24"/>
        </w:rPr>
        <w:t>（</w:t>
      </w:r>
      <w:r>
        <w:rPr>
          <w:rFonts w:ascii="Times New Roman" w:hAnsi="Times New Roman" w:eastAsia="Times New Roman" w:cs="Times New Roman"/>
          <w:spacing w:val="-11"/>
          <w:sz w:val="24"/>
          <w:szCs w:val="24"/>
        </w:rPr>
        <w:t>9</w:t>
      </w:r>
      <w:r>
        <w:rPr>
          <w:rFonts w:ascii="宋体" w:hAnsi="宋体" w:eastAsia="宋体" w:cs="宋体"/>
          <w:spacing w:val="-41"/>
          <w:sz w:val="24"/>
          <w:szCs w:val="24"/>
        </w:rPr>
        <w:t>）：</w:t>
      </w:r>
      <w:r>
        <w:rPr>
          <w:rFonts w:ascii="Times New Roman" w:hAnsi="Times New Roman" w:eastAsia="Times New Roman" w:cs="Times New Roman"/>
          <w:spacing w:val="-11"/>
          <w:sz w:val="24"/>
          <w:szCs w:val="24"/>
        </w:rPr>
        <w:t>16-19.</w:t>
      </w:r>
    </w:p>
    <w:p>
      <w:pPr>
        <w:spacing w:before="175" w:line="215"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w:t>
      </w:r>
      <w:r>
        <w:rPr>
          <w:rFonts w:ascii="宋体" w:hAnsi="宋体" w:eastAsia="宋体" w:cs="宋体"/>
          <w:spacing w:val="-5"/>
          <w:sz w:val="24"/>
          <w:szCs w:val="24"/>
        </w:rPr>
        <w:t>夏建国</w:t>
      </w:r>
      <w:r>
        <w:rPr>
          <w:rFonts w:ascii="Times New Roman" w:hAnsi="Times New Roman" w:eastAsia="Times New Roman" w:cs="Times New Roman"/>
          <w:spacing w:val="-5"/>
          <w:sz w:val="24"/>
          <w:szCs w:val="24"/>
        </w:rPr>
        <w:t>.</w:t>
      </w:r>
      <w:r>
        <w:rPr>
          <w:rFonts w:ascii="宋体" w:hAnsi="宋体" w:eastAsia="宋体" w:cs="宋体"/>
          <w:spacing w:val="-5"/>
          <w:sz w:val="24"/>
          <w:szCs w:val="24"/>
        </w:rPr>
        <w:t>高等技术教育学［</w:t>
      </w:r>
      <w:r>
        <w:rPr>
          <w:rFonts w:ascii="Times New Roman" w:hAnsi="Times New Roman" w:eastAsia="Times New Roman" w:cs="Times New Roman"/>
          <w:spacing w:val="-5"/>
          <w:sz w:val="24"/>
          <w:szCs w:val="24"/>
        </w:rPr>
        <w:t>M</w:t>
      </w:r>
      <w:r>
        <w:rPr>
          <w:rFonts w:ascii="宋体" w:hAnsi="宋体" w:eastAsia="宋体" w:cs="宋体"/>
          <w:spacing w:val="-5"/>
          <w:sz w:val="24"/>
          <w:szCs w:val="24"/>
        </w:rPr>
        <w:t>］</w:t>
      </w:r>
      <w:r>
        <w:rPr>
          <w:rFonts w:ascii="Times New Roman" w:hAnsi="Times New Roman" w:eastAsia="Times New Roman" w:cs="Times New Roman"/>
          <w:spacing w:val="-5"/>
          <w:sz w:val="24"/>
          <w:szCs w:val="24"/>
        </w:rPr>
        <w:t>.</w:t>
      </w:r>
      <w:r>
        <w:rPr>
          <w:rFonts w:ascii="宋体" w:hAnsi="宋体" w:eastAsia="宋体" w:cs="宋体"/>
          <w:spacing w:val="-5"/>
          <w:sz w:val="24"/>
          <w:szCs w:val="24"/>
        </w:rPr>
        <w:t>上海：上海交通大学出</w:t>
      </w:r>
      <w:r>
        <w:rPr>
          <w:rFonts w:ascii="宋体" w:hAnsi="宋体" w:eastAsia="宋体" w:cs="宋体"/>
          <w:spacing w:val="-6"/>
          <w:sz w:val="24"/>
          <w:szCs w:val="24"/>
        </w:rPr>
        <w:t>版社，</w:t>
      </w:r>
      <w:r>
        <w:rPr>
          <w:rFonts w:ascii="Times New Roman" w:hAnsi="Times New Roman" w:eastAsia="Times New Roman" w:cs="Times New Roman"/>
          <w:spacing w:val="-6"/>
          <w:sz w:val="24"/>
          <w:szCs w:val="24"/>
        </w:rPr>
        <w:t>2011</w:t>
      </w:r>
      <w:r>
        <w:rPr>
          <w:rFonts w:ascii="宋体" w:hAnsi="宋体" w:eastAsia="宋体" w:cs="宋体"/>
          <w:spacing w:val="-6"/>
          <w:sz w:val="24"/>
          <w:szCs w:val="24"/>
        </w:rPr>
        <w:t>：</w:t>
      </w:r>
      <w:r>
        <w:rPr>
          <w:rFonts w:ascii="Times New Roman" w:hAnsi="Times New Roman" w:eastAsia="Times New Roman" w:cs="Times New Roman"/>
          <w:spacing w:val="-6"/>
          <w:sz w:val="24"/>
          <w:szCs w:val="24"/>
        </w:rPr>
        <w:t>44.</w:t>
      </w:r>
    </w:p>
    <w:p>
      <w:pPr>
        <w:spacing w:before="178" w:line="462" w:lineRule="exact"/>
        <w:ind w:left="34"/>
        <w:rPr>
          <w:rFonts w:ascii="宋体" w:hAnsi="宋体" w:eastAsia="宋体" w:cs="宋体"/>
          <w:sz w:val="24"/>
          <w:szCs w:val="24"/>
        </w:rPr>
      </w:pPr>
      <w:r>
        <w:rPr>
          <w:rFonts w:ascii="Times New Roman" w:hAnsi="Times New Roman" w:eastAsia="Times New Roman" w:cs="Times New Roman"/>
          <w:position w:val="17"/>
          <w:sz w:val="24"/>
          <w:szCs w:val="24"/>
        </w:rPr>
        <w:t>[4]</w:t>
      </w:r>
      <w:r>
        <w:rPr>
          <w:rFonts w:ascii="宋体" w:hAnsi="宋体" w:eastAsia="宋体" w:cs="宋体"/>
          <w:position w:val="17"/>
          <w:sz w:val="24"/>
          <w:szCs w:val="24"/>
        </w:rPr>
        <w:t>徐国庆，陆素菊，匡瑛，等</w:t>
      </w:r>
      <w:r>
        <w:rPr>
          <w:rFonts w:ascii="Times New Roman" w:hAnsi="Times New Roman" w:eastAsia="Times New Roman" w:cs="Times New Roman"/>
          <w:position w:val="17"/>
          <w:sz w:val="24"/>
          <w:szCs w:val="24"/>
        </w:rPr>
        <w:t>.</w:t>
      </w:r>
      <w:r>
        <w:rPr>
          <w:rFonts w:ascii="宋体" w:hAnsi="宋体" w:eastAsia="宋体" w:cs="宋体"/>
          <w:position w:val="17"/>
          <w:sz w:val="24"/>
          <w:szCs w:val="24"/>
        </w:rPr>
        <w:t>职业本科教育的内涵、国际状况与发展策略</w:t>
      </w:r>
    </w:p>
    <w:p>
      <w:pPr>
        <w:spacing w:before="1" w:line="218" w:lineRule="auto"/>
        <w:ind w:left="446"/>
        <w:rPr>
          <w:rFonts w:ascii="Times New Roman" w:hAnsi="Times New Roman" w:eastAsia="Times New Roman" w:cs="Times New Roman"/>
          <w:sz w:val="24"/>
          <w:szCs w:val="24"/>
        </w:rPr>
      </w:pPr>
      <w:r>
        <w:rPr>
          <w:rFonts w:ascii="宋体" w:hAnsi="宋体" w:eastAsia="宋体" w:cs="宋体"/>
          <w:spacing w:val="-9"/>
          <w:sz w:val="24"/>
          <w:szCs w:val="24"/>
        </w:rPr>
        <w:t>［</w:t>
      </w:r>
      <w:r>
        <w:rPr>
          <w:rFonts w:ascii="Times New Roman" w:hAnsi="Times New Roman" w:eastAsia="Times New Roman" w:cs="Times New Roman"/>
          <w:spacing w:val="-9"/>
          <w:sz w:val="24"/>
          <w:szCs w:val="24"/>
        </w:rPr>
        <w:t>J</w:t>
      </w:r>
      <w:r>
        <w:rPr>
          <w:rFonts w:ascii="宋体" w:hAnsi="宋体" w:eastAsia="宋体" w:cs="宋体"/>
          <w:spacing w:val="-9"/>
          <w:sz w:val="24"/>
          <w:szCs w:val="24"/>
        </w:rPr>
        <w:t>］</w:t>
      </w:r>
      <w:r>
        <w:rPr>
          <w:rFonts w:ascii="Times New Roman" w:hAnsi="Times New Roman" w:eastAsia="Times New Roman" w:cs="Times New Roman"/>
          <w:spacing w:val="-9"/>
          <w:sz w:val="24"/>
          <w:szCs w:val="24"/>
        </w:rPr>
        <w:t>.</w:t>
      </w:r>
      <w:r>
        <w:rPr>
          <w:rFonts w:ascii="宋体" w:hAnsi="宋体" w:eastAsia="宋体" w:cs="宋体"/>
          <w:spacing w:val="-9"/>
          <w:sz w:val="24"/>
          <w:szCs w:val="24"/>
        </w:rPr>
        <w:t>机械职业教育，</w:t>
      </w:r>
      <w:r>
        <w:rPr>
          <w:rFonts w:ascii="Times New Roman" w:hAnsi="Times New Roman" w:eastAsia="Times New Roman" w:cs="Times New Roman"/>
          <w:spacing w:val="-9"/>
          <w:sz w:val="24"/>
          <w:szCs w:val="24"/>
        </w:rPr>
        <w:t>2020</w:t>
      </w:r>
      <w:r>
        <w:rPr>
          <w:rFonts w:ascii="宋体" w:hAnsi="宋体" w:eastAsia="宋体" w:cs="宋体"/>
          <w:spacing w:val="-9"/>
          <w:sz w:val="24"/>
          <w:szCs w:val="24"/>
        </w:rPr>
        <w:t>（</w:t>
      </w:r>
      <w:r>
        <w:rPr>
          <w:rFonts w:ascii="Times New Roman" w:hAnsi="Times New Roman" w:eastAsia="Times New Roman" w:cs="Times New Roman"/>
          <w:spacing w:val="-9"/>
          <w:sz w:val="24"/>
          <w:szCs w:val="24"/>
        </w:rPr>
        <w:t>3</w:t>
      </w:r>
      <w:r>
        <w:rPr>
          <w:rFonts w:ascii="宋体" w:hAnsi="宋体" w:eastAsia="宋体" w:cs="宋体"/>
          <w:spacing w:val="-38"/>
          <w:sz w:val="24"/>
          <w:szCs w:val="24"/>
        </w:rPr>
        <w:t>）：</w:t>
      </w:r>
      <w:r>
        <w:rPr>
          <w:rFonts w:ascii="Times New Roman" w:hAnsi="Times New Roman" w:eastAsia="Times New Roman" w:cs="Times New Roman"/>
          <w:spacing w:val="-9"/>
          <w:sz w:val="24"/>
          <w:szCs w:val="24"/>
        </w:rPr>
        <w:t>1-6+24.</w:t>
      </w:r>
    </w:p>
    <w:p>
      <w:pPr>
        <w:spacing w:before="176" w:line="459" w:lineRule="exact"/>
        <w:ind w:left="34"/>
        <w:rPr>
          <w:rFonts w:ascii="Times New Roman" w:hAnsi="Times New Roman" w:eastAsia="Times New Roman" w:cs="Times New Roman"/>
          <w:sz w:val="24"/>
          <w:szCs w:val="24"/>
        </w:rPr>
      </w:pPr>
      <w:r>
        <w:rPr>
          <w:rFonts w:ascii="Times New Roman" w:hAnsi="Times New Roman" w:eastAsia="Times New Roman" w:cs="Times New Roman"/>
          <w:spacing w:val="-5"/>
          <w:position w:val="16"/>
          <w:sz w:val="24"/>
          <w:szCs w:val="24"/>
        </w:rPr>
        <w:t>[5]</w:t>
      </w:r>
      <w:r>
        <w:rPr>
          <w:rFonts w:ascii="宋体" w:hAnsi="宋体" w:eastAsia="宋体" w:cs="宋体"/>
          <w:spacing w:val="-5"/>
          <w:position w:val="16"/>
          <w:sz w:val="24"/>
          <w:szCs w:val="24"/>
        </w:rPr>
        <w:t>徐国庆</w:t>
      </w:r>
      <w:r>
        <w:rPr>
          <w:rFonts w:ascii="Times New Roman" w:hAnsi="Times New Roman" w:eastAsia="Times New Roman" w:cs="Times New Roman"/>
          <w:spacing w:val="-5"/>
          <w:position w:val="16"/>
          <w:sz w:val="24"/>
          <w:szCs w:val="24"/>
        </w:rPr>
        <w:t>.</w:t>
      </w:r>
      <w:r>
        <w:rPr>
          <w:rFonts w:ascii="宋体" w:hAnsi="宋体" w:eastAsia="宋体" w:cs="宋体"/>
          <w:spacing w:val="-5"/>
          <w:position w:val="16"/>
          <w:sz w:val="24"/>
          <w:szCs w:val="24"/>
        </w:rPr>
        <w:t>现代职教体系建设的重大突破［</w:t>
      </w:r>
      <w:r>
        <w:rPr>
          <w:rFonts w:ascii="Times New Roman" w:hAnsi="Times New Roman" w:eastAsia="Times New Roman" w:cs="Times New Roman"/>
          <w:spacing w:val="-5"/>
          <w:position w:val="16"/>
          <w:sz w:val="24"/>
          <w:szCs w:val="24"/>
        </w:rPr>
        <w:t>N</w:t>
      </w:r>
      <w:r>
        <w:rPr>
          <w:rFonts w:ascii="宋体" w:hAnsi="宋体" w:eastAsia="宋体" w:cs="宋体"/>
          <w:spacing w:val="-5"/>
          <w:position w:val="16"/>
          <w:sz w:val="24"/>
          <w:szCs w:val="24"/>
        </w:rPr>
        <w:t>］</w:t>
      </w:r>
      <w:r>
        <w:rPr>
          <w:rFonts w:ascii="Times New Roman" w:hAnsi="Times New Roman" w:eastAsia="Times New Roman" w:cs="Times New Roman"/>
          <w:spacing w:val="-5"/>
          <w:position w:val="16"/>
          <w:sz w:val="24"/>
          <w:szCs w:val="24"/>
        </w:rPr>
        <w:t>.</w:t>
      </w:r>
      <w:r>
        <w:rPr>
          <w:rFonts w:ascii="宋体" w:hAnsi="宋体" w:eastAsia="宋体" w:cs="宋体"/>
          <w:spacing w:val="-5"/>
          <w:position w:val="16"/>
          <w:sz w:val="24"/>
          <w:szCs w:val="24"/>
        </w:rPr>
        <w:t>中国教育报，</w:t>
      </w:r>
      <w:r>
        <w:rPr>
          <w:rFonts w:ascii="Times New Roman" w:hAnsi="Times New Roman" w:eastAsia="Times New Roman" w:cs="Times New Roman"/>
          <w:spacing w:val="-5"/>
          <w:position w:val="16"/>
          <w:sz w:val="24"/>
          <w:szCs w:val="24"/>
        </w:rPr>
        <w:t>2021-02-09</w:t>
      </w:r>
      <w:r>
        <w:rPr>
          <w:rFonts w:ascii="宋体" w:hAnsi="宋体" w:eastAsia="宋体" w:cs="宋体"/>
          <w:spacing w:val="-5"/>
          <w:position w:val="16"/>
          <w:sz w:val="24"/>
          <w:szCs w:val="24"/>
        </w:rPr>
        <w:t>（</w:t>
      </w:r>
      <w:r>
        <w:rPr>
          <w:rFonts w:ascii="Times New Roman" w:hAnsi="Times New Roman" w:eastAsia="Times New Roman" w:cs="Times New Roman"/>
          <w:spacing w:val="-5"/>
          <w:position w:val="16"/>
          <w:sz w:val="24"/>
          <w:szCs w:val="24"/>
        </w:rPr>
        <w:t>4</w:t>
      </w:r>
      <w:r>
        <w:rPr>
          <w:rFonts w:ascii="宋体" w:hAnsi="宋体" w:eastAsia="宋体" w:cs="宋体"/>
          <w:spacing w:val="-5"/>
          <w:position w:val="16"/>
          <w:sz w:val="24"/>
          <w:szCs w:val="24"/>
        </w:rPr>
        <w:t>）</w:t>
      </w:r>
      <w:r>
        <w:rPr>
          <w:rFonts w:ascii="Times New Roman" w:hAnsi="Times New Roman" w:eastAsia="Times New Roman" w:cs="Times New Roman"/>
          <w:spacing w:val="-5"/>
          <w:position w:val="16"/>
          <w:sz w:val="24"/>
          <w:szCs w:val="24"/>
        </w:rPr>
        <w:t>.</w:t>
      </w:r>
    </w:p>
    <w:p>
      <w:pPr>
        <w:spacing w:line="215"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w:t>
      </w:r>
      <w:r>
        <w:rPr>
          <w:rFonts w:ascii="宋体" w:hAnsi="宋体" w:eastAsia="宋体" w:cs="宋体"/>
          <w:spacing w:val="-6"/>
          <w:sz w:val="24"/>
          <w:szCs w:val="24"/>
        </w:rPr>
        <w:t>马燕</w:t>
      </w:r>
      <w:r>
        <w:rPr>
          <w:rFonts w:ascii="Times New Roman" w:hAnsi="Times New Roman" w:eastAsia="Times New Roman" w:cs="Times New Roman"/>
          <w:spacing w:val="-6"/>
          <w:sz w:val="24"/>
          <w:szCs w:val="24"/>
        </w:rPr>
        <w:t>.</w:t>
      </w:r>
      <w:r>
        <w:rPr>
          <w:rFonts w:ascii="宋体" w:hAnsi="宋体" w:eastAsia="宋体" w:cs="宋体"/>
          <w:spacing w:val="-6"/>
          <w:sz w:val="24"/>
          <w:szCs w:val="24"/>
        </w:rPr>
        <w:t>我国本科层次职业教育发展研究［</w:t>
      </w:r>
      <w:r>
        <w:rPr>
          <w:rFonts w:ascii="Times New Roman" w:hAnsi="Times New Roman" w:eastAsia="Times New Roman" w:cs="Times New Roman"/>
          <w:spacing w:val="-6"/>
          <w:sz w:val="24"/>
          <w:szCs w:val="24"/>
        </w:rPr>
        <w:t>D</w:t>
      </w:r>
      <w:r>
        <w:rPr>
          <w:rFonts w:ascii="宋体" w:hAnsi="宋体" w:eastAsia="宋体" w:cs="宋体"/>
          <w:spacing w:val="-6"/>
          <w:sz w:val="24"/>
          <w:szCs w:val="24"/>
        </w:rPr>
        <w:t>］</w:t>
      </w:r>
      <w:r>
        <w:rPr>
          <w:rFonts w:ascii="Times New Roman" w:hAnsi="Times New Roman" w:eastAsia="Times New Roman" w:cs="Times New Roman"/>
          <w:spacing w:val="-6"/>
          <w:sz w:val="24"/>
          <w:szCs w:val="24"/>
        </w:rPr>
        <w:t>.</w:t>
      </w:r>
      <w:r>
        <w:rPr>
          <w:rFonts w:ascii="宋体" w:hAnsi="宋体" w:eastAsia="宋体" w:cs="宋体"/>
          <w:spacing w:val="-6"/>
          <w:sz w:val="24"/>
          <w:szCs w:val="24"/>
        </w:rPr>
        <w:t>天津：天津大学，</w:t>
      </w:r>
      <w:r>
        <w:rPr>
          <w:rFonts w:ascii="Times New Roman" w:hAnsi="Times New Roman" w:eastAsia="Times New Roman" w:cs="Times New Roman"/>
          <w:spacing w:val="-6"/>
          <w:sz w:val="24"/>
          <w:szCs w:val="24"/>
        </w:rPr>
        <w:t>2015.</w:t>
      </w:r>
    </w:p>
    <w:p>
      <w:pPr>
        <w:pStyle w:val="24"/>
        <w:rPr>
          <w:rStyle w:val="11"/>
          <w:rFonts w:ascii="楷体_GB2312" w:eastAsia="楷体_GB2312"/>
          <w:color w:val="0000FF"/>
        </w:rPr>
      </w:pPr>
    </w:p>
    <w:p>
      <w:pPr>
        <w:pStyle w:val="24"/>
        <w:rPr>
          <w:rStyle w:val="11"/>
          <w:rFonts w:ascii="楷体_GB2312" w:eastAsia="楷体_GB2312"/>
          <w:color w:val="0000FF"/>
        </w:rPr>
      </w:pPr>
    </w:p>
    <w:p>
      <w:pPr>
        <w:pStyle w:val="20"/>
        <w:spacing w:after="312" w:line="240" w:lineRule="auto"/>
        <w:ind w:firstLine="74" w:firstLineChars="31"/>
        <w:rPr>
          <w:rStyle w:val="11"/>
          <w:rFonts w:ascii="仿宋_GB2312" w:hAnsi="宋体" w:eastAsia="仿宋_GB2312"/>
          <w:sz w:val="24"/>
          <w:szCs w:val="24"/>
          <w:lang w:eastAsia="zh-CN"/>
        </w:rPr>
      </w:pPr>
      <w:r>
        <w:rPr>
          <w:rStyle w:val="11"/>
          <w:rFonts w:ascii="仿宋_GB2312" w:hAnsi="宋体" w:eastAsia="仿宋_GB2312"/>
          <w:sz w:val="24"/>
          <w:szCs w:val="24"/>
          <w:lang w:eastAsia="zh-CN"/>
        </w:rPr>
        <w:br w:type="page"/>
      </w:r>
      <w:r>
        <w:rPr>
          <w:rStyle w:val="11"/>
          <w:rFonts w:ascii="仿宋_GB2312" w:hAnsi="宋体" w:eastAsia="仿宋_GB2312"/>
          <w:sz w:val="24"/>
          <w:szCs w:val="24"/>
          <w:lang w:eastAsia="zh-CN"/>
        </w:rPr>
        <w:t>附件2：</w:t>
      </w:r>
    </w:p>
    <w:p>
      <w:pPr>
        <w:pStyle w:val="20"/>
        <w:spacing w:after="312" w:line="240" w:lineRule="auto"/>
        <w:ind w:firstLineChars="0"/>
        <w:jc w:val="center"/>
        <w:rPr>
          <w:rStyle w:val="11"/>
          <w:rFonts w:ascii="仿宋" w:hAnsi="仿宋" w:eastAsia="仿宋"/>
          <w:b/>
          <w:sz w:val="24"/>
          <w:szCs w:val="24"/>
          <w:lang w:eastAsia="zh-CN"/>
        </w:rPr>
      </w:pPr>
      <w:r>
        <w:rPr>
          <w:rStyle w:val="11"/>
          <w:rFonts w:hint="eastAsia" w:ascii="仿宋" w:hAnsi="仿宋" w:eastAsia="仿宋"/>
          <w:b/>
          <w:sz w:val="24"/>
          <w:szCs w:val="24"/>
          <w:lang w:eastAsia="zh-CN"/>
        </w:rPr>
        <w:t>全国高等职业院校创新创业教育联盟2023年年会论文征集登记表</w:t>
      </w:r>
    </w:p>
    <w:tbl>
      <w:tblPr>
        <w:tblStyle w:val="8"/>
        <w:tblW w:w="846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3"/>
        <w:gridCol w:w="774"/>
        <w:gridCol w:w="1475"/>
        <w:gridCol w:w="519"/>
        <w:gridCol w:w="217"/>
        <w:gridCol w:w="970"/>
        <w:gridCol w:w="819"/>
        <w:gridCol w:w="957"/>
        <w:gridCol w:w="167"/>
        <w:gridCol w:w="1010"/>
        <w:gridCol w:w="7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64" w:hRule="atLeast"/>
          <w:jc w:val="center"/>
        </w:trPr>
        <w:tc>
          <w:tcPr>
            <w:tcW w:w="159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作者姓名</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c>
          <w:tcPr>
            <w:tcW w:w="736"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r>
              <w:rPr>
                <w:rStyle w:val="11"/>
                <w:rFonts w:ascii="仿宋" w:hAnsi="仿宋" w:eastAsia="仿宋"/>
                <w:sz w:val="24"/>
                <w:szCs w:val="24"/>
                <w:lang w:eastAsia="zh-CN"/>
              </w:rPr>
              <w:t>职务</w:t>
            </w:r>
          </w:p>
        </w:tc>
        <w:tc>
          <w:tcPr>
            <w:tcW w:w="970"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c>
          <w:tcPr>
            <w:tcW w:w="819"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98" w:firstLineChars="41"/>
              <w:rPr>
                <w:rStyle w:val="11"/>
                <w:rFonts w:ascii="仿宋" w:hAnsi="仿宋" w:eastAsia="仿宋"/>
                <w:sz w:val="24"/>
                <w:szCs w:val="24"/>
                <w:lang w:eastAsia="zh-CN"/>
              </w:rPr>
            </w:pPr>
            <w:r>
              <w:rPr>
                <w:rStyle w:val="11"/>
                <w:rFonts w:ascii="仿宋" w:hAnsi="仿宋" w:eastAsia="仿宋"/>
                <w:sz w:val="24"/>
                <w:szCs w:val="24"/>
                <w:lang w:eastAsia="zh-CN"/>
              </w:rPr>
              <w:t>职称</w:t>
            </w:r>
          </w:p>
        </w:tc>
        <w:tc>
          <w:tcPr>
            <w:tcW w:w="957"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c>
          <w:tcPr>
            <w:tcW w:w="117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r>
              <w:rPr>
                <w:rStyle w:val="11"/>
                <w:rFonts w:ascii="仿宋" w:hAnsi="仿宋" w:eastAsia="仿宋"/>
                <w:sz w:val="24"/>
                <w:szCs w:val="24"/>
                <w:lang w:eastAsia="zh-CN"/>
              </w:rPr>
              <w:t>出生年月</w:t>
            </w:r>
          </w:p>
        </w:tc>
        <w:tc>
          <w:tcPr>
            <w:tcW w:w="734"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21" w:hRule="atLeast"/>
          <w:jc w:val="center"/>
        </w:trPr>
        <w:tc>
          <w:tcPr>
            <w:tcW w:w="159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合作者姓名(按顺序填写)</w:t>
            </w:r>
          </w:p>
        </w:tc>
        <w:tc>
          <w:tcPr>
            <w:tcW w:w="6868" w:type="dxa"/>
            <w:gridSpan w:val="9"/>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21" w:hRule="atLeast"/>
          <w:jc w:val="center"/>
        </w:trPr>
        <w:tc>
          <w:tcPr>
            <w:tcW w:w="159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论文题目</w:t>
            </w:r>
          </w:p>
        </w:tc>
        <w:tc>
          <w:tcPr>
            <w:tcW w:w="6868" w:type="dxa"/>
            <w:gridSpan w:val="9"/>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2" w:hRule="atLeast"/>
          <w:jc w:val="center"/>
        </w:trPr>
        <w:tc>
          <w:tcPr>
            <w:tcW w:w="159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工作单位</w:t>
            </w:r>
          </w:p>
        </w:tc>
        <w:tc>
          <w:tcPr>
            <w:tcW w:w="6868" w:type="dxa"/>
            <w:gridSpan w:val="9"/>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62" w:hRule="exact"/>
          <w:jc w:val="center"/>
        </w:trPr>
        <w:tc>
          <w:tcPr>
            <w:tcW w:w="1597"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通信方式</w:t>
            </w:r>
          </w:p>
        </w:tc>
        <w:tc>
          <w:tcPr>
            <w:tcW w:w="6868" w:type="dxa"/>
            <w:gridSpan w:val="9"/>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46" w:hRule="atLeast"/>
          <w:jc w:val="center"/>
        </w:trPr>
        <w:tc>
          <w:tcPr>
            <w:tcW w:w="1597" w:type="dxa"/>
            <w:gridSpan w:val="2"/>
            <w:vMerge w:val="restart"/>
            <w:tcBorders>
              <w:top w:val="single" w:color="000000" w:sz="4" w:space="0"/>
              <w:left w:val="single" w:color="000000" w:sz="4" w:space="0"/>
              <w:bottom w:val="nil"/>
              <w:right w:val="single" w:color="000000" w:sz="4" w:space="0"/>
            </w:tcBorders>
            <w:vAlign w:val="center"/>
          </w:tcPr>
          <w:p>
            <w:pPr>
              <w:pStyle w:val="20"/>
              <w:spacing w:after="0" w:line="240" w:lineRule="auto"/>
              <w:ind w:firstLineChars="0"/>
              <w:jc w:val="center"/>
              <w:rPr>
                <w:rStyle w:val="11"/>
                <w:rFonts w:ascii="仿宋" w:hAnsi="仿宋" w:eastAsia="仿宋"/>
                <w:sz w:val="24"/>
                <w:szCs w:val="24"/>
                <w:lang w:eastAsia="zh-CN"/>
              </w:rPr>
            </w:pPr>
            <w:r>
              <w:rPr>
                <w:rStyle w:val="11"/>
                <w:rFonts w:ascii="仿宋" w:hAnsi="仿宋" w:eastAsia="仿宋"/>
                <w:sz w:val="24"/>
                <w:szCs w:val="24"/>
                <w:lang w:eastAsia="zh-CN"/>
              </w:rPr>
              <w:t>联系方式</w:t>
            </w: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98" w:firstLineChars="41"/>
              <w:jc w:val="center"/>
              <w:rPr>
                <w:rStyle w:val="11"/>
                <w:rFonts w:ascii="仿宋" w:hAnsi="仿宋" w:eastAsia="仿宋"/>
                <w:sz w:val="24"/>
                <w:szCs w:val="24"/>
                <w:lang w:eastAsia="zh-CN"/>
              </w:rPr>
            </w:pPr>
            <w:r>
              <w:rPr>
                <w:rStyle w:val="11"/>
                <w:rFonts w:ascii="仿宋" w:hAnsi="仿宋" w:eastAsia="仿宋"/>
                <w:sz w:val="24"/>
                <w:szCs w:val="24"/>
                <w:lang w:eastAsia="zh-CN"/>
              </w:rPr>
              <w:t>固   话</w:t>
            </w:r>
          </w:p>
        </w:tc>
        <w:tc>
          <w:tcPr>
            <w:tcW w:w="2006" w:type="dxa"/>
            <w:gridSpan w:val="3"/>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r>
              <w:rPr>
                <w:rStyle w:val="11"/>
                <w:rFonts w:ascii="仿宋" w:hAnsi="仿宋" w:eastAsia="仿宋"/>
                <w:sz w:val="24"/>
                <w:szCs w:val="24"/>
                <w:lang w:eastAsia="zh-CN"/>
              </w:rPr>
              <w:t>手  机</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46" w:hRule="atLeast"/>
          <w:jc w:val="center"/>
        </w:trPr>
        <w:tc>
          <w:tcPr>
            <w:tcW w:w="1597" w:type="dxa"/>
            <w:gridSpan w:val="2"/>
            <w:vMerge w:val="continue"/>
            <w:tcBorders>
              <w:top w:val="nil"/>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p>
        </w:tc>
        <w:tc>
          <w:tcPr>
            <w:tcW w:w="1994" w:type="dxa"/>
            <w:gridSpan w:val="2"/>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98" w:firstLineChars="41"/>
              <w:jc w:val="center"/>
              <w:rPr>
                <w:rStyle w:val="11"/>
                <w:rFonts w:ascii="仿宋" w:hAnsi="仿宋" w:eastAsia="仿宋"/>
                <w:sz w:val="24"/>
                <w:szCs w:val="24"/>
                <w:lang w:eastAsia="zh-CN"/>
              </w:rPr>
            </w:pPr>
            <w:r>
              <w:rPr>
                <w:rStyle w:val="11"/>
                <w:rFonts w:ascii="仿宋" w:hAnsi="仿宋" w:eastAsia="仿宋"/>
                <w:sz w:val="24"/>
                <w:szCs w:val="24"/>
                <w:lang w:eastAsia="zh-CN"/>
              </w:rPr>
              <w:t>电子邮箱</w:t>
            </w:r>
          </w:p>
        </w:tc>
        <w:tc>
          <w:tcPr>
            <w:tcW w:w="4874" w:type="dxa"/>
            <w:gridSpan w:val="7"/>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480" w:firstLineChars="200"/>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409"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Chars="0"/>
              <w:rPr>
                <w:rStyle w:val="11"/>
                <w:rFonts w:ascii="仿宋" w:hAnsi="仿宋" w:eastAsia="仿宋"/>
                <w:sz w:val="24"/>
                <w:szCs w:val="24"/>
                <w:lang w:eastAsia="zh-CN"/>
              </w:rPr>
            </w:pPr>
            <w:r>
              <w:rPr>
                <w:rStyle w:val="11"/>
                <w:rFonts w:ascii="仿宋" w:hAnsi="仿宋" w:eastAsia="仿宋"/>
                <w:sz w:val="24"/>
                <w:szCs w:val="24"/>
                <w:lang w:eastAsia="zh-CN"/>
              </w:rPr>
              <w:t>作者所在单位推荐意见</w:t>
            </w:r>
          </w:p>
        </w:tc>
        <w:tc>
          <w:tcPr>
            <w:tcW w:w="7642" w:type="dxa"/>
            <w:gridSpan w:val="10"/>
            <w:tcBorders>
              <w:top w:val="single" w:color="000000" w:sz="4" w:space="0"/>
              <w:left w:val="single" w:color="000000" w:sz="4" w:space="0"/>
              <w:bottom w:val="single" w:color="000000" w:sz="4" w:space="0"/>
              <w:right w:val="single" w:color="000000" w:sz="4" w:space="0"/>
            </w:tcBorders>
          </w:tcPr>
          <w:p>
            <w:pPr>
              <w:pStyle w:val="20"/>
              <w:spacing w:after="312" w:line="240" w:lineRule="auto"/>
              <w:ind w:firstLine="480" w:firstLineChars="200"/>
              <w:rPr>
                <w:rStyle w:val="11"/>
                <w:rFonts w:ascii="仿宋" w:hAnsi="仿宋" w:eastAsia="仿宋"/>
                <w:sz w:val="24"/>
                <w:szCs w:val="24"/>
                <w:lang w:eastAsia="zh-CN"/>
              </w:rPr>
            </w:pPr>
          </w:p>
          <w:p>
            <w:pPr>
              <w:pStyle w:val="20"/>
              <w:spacing w:after="312" w:line="240" w:lineRule="auto"/>
              <w:ind w:firstLine="480" w:firstLineChars="200"/>
              <w:rPr>
                <w:rStyle w:val="11"/>
                <w:rFonts w:ascii="仿宋" w:hAnsi="仿宋" w:eastAsia="仿宋"/>
                <w:sz w:val="24"/>
                <w:szCs w:val="24"/>
                <w:lang w:eastAsia="zh-CN"/>
              </w:rPr>
            </w:pPr>
            <w:r>
              <w:rPr>
                <w:rStyle w:val="11"/>
                <w:rFonts w:ascii="仿宋" w:hAnsi="仿宋" w:eastAsia="仿宋"/>
                <w:sz w:val="24"/>
                <w:szCs w:val="24"/>
                <w:lang w:eastAsia="zh-CN"/>
              </w:rPr>
              <w:t>本单位完全了解关于学术规范的有关规定和论文作者的学术水平，愿意为论文作者提供信誉保证，保证论文所涉数据和事例真实准确，论文撰写符合学术规范。</w:t>
            </w:r>
          </w:p>
          <w:p>
            <w:pPr>
              <w:pStyle w:val="20"/>
              <w:spacing w:after="312" w:line="240" w:lineRule="auto"/>
              <w:ind w:firstLineChars="0"/>
              <w:jc w:val="both"/>
              <w:rPr>
                <w:rStyle w:val="11"/>
                <w:rFonts w:ascii="仿宋" w:hAnsi="仿宋" w:eastAsia="仿宋"/>
                <w:sz w:val="24"/>
                <w:szCs w:val="24"/>
                <w:lang w:eastAsia="zh-CN"/>
              </w:rPr>
            </w:pPr>
            <w:r>
              <w:rPr>
                <w:rStyle w:val="11"/>
                <w:rFonts w:ascii="仿宋" w:hAnsi="仿宋" w:eastAsia="仿宋"/>
                <w:sz w:val="24"/>
                <w:szCs w:val="24"/>
                <w:lang w:eastAsia="zh-CN"/>
              </w:rPr>
              <w:t xml:space="preserve">                                         单位公章：</w:t>
            </w:r>
          </w:p>
          <w:p>
            <w:pPr>
              <w:pStyle w:val="20"/>
              <w:spacing w:after="0" w:line="240" w:lineRule="auto"/>
              <w:ind w:firstLine="5520" w:firstLineChars="2300"/>
              <w:jc w:val="both"/>
              <w:rPr>
                <w:rStyle w:val="11"/>
                <w:rFonts w:ascii="仿宋" w:hAnsi="仿宋" w:eastAsia="仿宋"/>
                <w:sz w:val="24"/>
                <w:szCs w:val="24"/>
                <w:lang w:eastAsia="zh-CN"/>
              </w:rPr>
            </w:pPr>
            <w:r>
              <w:rPr>
                <w:rStyle w:val="11"/>
                <w:rFonts w:ascii="仿宋" w:hAnsi="仿宋" w:eastAsia="仿宋"/>
                <w:sz w:val="24"/>
                <w:szCs w:val="24"/>
                <w:lang w:eastAsia="zh-CN"/>
              </w:rPr>
              <w:t>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20"/>
              <w:spacing w:after="312" w:line="240" w:lineRule="auto"/>
              <w:ind w:firstLineChars="0"/>
              <w:rPr>
                <w:rStyle w:val="11"/>
                <w:rFonts w:ascii="仿宋" w:hAnsi="仿宋" w:eastAsia="仿宋"/>
                <w:sz w:val="24"/>
                <w:szCs w:val="24"/>
                <w:lang w:eastAsia="zh-CN"/>
              </w:rPr>
            </w:pPr>
            <w:r>
              <w:rPr>
                <w:rStyle w:val="11"/>
                <w:rFonts w:ascii="仿宋" w:hAnsi="仿宋" w:eastAsia="仿宋"/>
                <w:sz w:val="24"/>
                <w:szCs w:val="24"/>
                <w:lang w:eastAsia="zh-CN"/>
              </w:rPr>
              <w:t>论文作者对于著作权让渡的意见</w:t>
            </w:r>
          </w:p>
          <w:p>
            <w:pPr>
              <w:pStyle w:val="20"/>
              <w:spacing w:after="0" w:line="240" w:lineRule="auto"/>
              <w:ind w:firstLine="480" w:firstLineChars="200"/>
              <w:rPr>
                <w:rStyle w:val="11"/>
                <w:rFonts w:ascii="仿宋" w:hAnsi="仿宋" w:eastAsia="仿宋"/>
                <w:sz w:val="24"/>
                <w:szCs w:val="24"/>
                <w:lang w:eastAsia="zh-CN"/>
              </w:rPr>
            </w:pPr>
            <w:r>
              <w:rPr>
                <w:rStyle w:val="11"/>
                <w:rFonts w:ascii="仿宋" w:hAnsi="仿宋" w:eastAsia="仿宋"/>
                <w:sz w:val="24"/>
                <w:szCs w:val="24"/>
                <w:lang w:eastAsia="zh-CN"/>
              </w:rPr>
              <w:t xml:space="preserve">                                                         </w:t>
            </w:r>
          </w:p>
        </w:tc>
        <w:tc>
          <w:tcPr>
            <w:tcW w:w="7642" w:type="dxa"/>
            <w:gridSpan w:val="10"/>
            <w:tcBorders>
              <w:top w:val="single" w:color="000000" w:sz="4" w:space="0"/>
              <w:left w:val="single" w:color="000000" w:sz="4" w:space="0"/>
              <w:bottom w:val="single" w:color="000000" w:sz="4" w:space="0"/>
              <w:right w:val="single" w:color="000000" w:sz="4" w:space="0"/>
            </w:tcBorders>
          </w:tcPr>
          <w:p>
            <w:pPr>
              <w:pStyle w:val="20"/>
              <w:spacing w:after="312" w:line="240" w:lineRule="auto"/>
              <w:ind w:firstLine="456" w:firstLineChars="190"/>
              <w:jc w:val="both"/>
              <w:rPr>
                <w:rStyle w:val="11"/>
                <w:rFonts w:ascii="仿宋" w:hAnsi="仿宋" w:eastAsia="仿宋"/>
                <w:sz w:val="24"/>
                <w:szCs w:val="24"/>
                <w:lang w:eastAsia="zh-CN"/>
              </w:rPr>
            </w:pPr>
          </w:p>
          <w:p>
            <w:pPr>
              <w:pStyle w:val="20"/>
              <w:spacing w:after="312" w:line="240" w:lineRule="auto"/>
              <w:ind w:firstLine="456" w:firstLineChars="190"/>
              <w:jc w:val="both"/>
              <w:rPr>
                <w:rStyle w:val="11"/>
                <w:rFonts w:ascii="仿宋" w:hAnsi="仿宋" w:eastAsia="仿宋"/>
                <w:sz w:val="24"/>
                <w:szCs w:val="24"/>
                <w:lang w:eastAsia="zh-CN"/>
              </w:rPr>
            </w:pPr>
            <w:r>
              <w:rPr>
                <w:rStyle w:val="11"/>
                <w:rFonts w:ascii="仿宋" w:hAnsi="仿宋" w:eastAsia="仿宋"/>
                <w:sz w:val="24"/>
                <w:szCs w:val="24"/>
                <w:lang w:eastAsia="zh-CN"/>
              </w:rPr>
              <w:t>1.同意举办方授权论文评选委员会根据有关规范要求和实际编发稿件的需要，对论文进行删节、修改、加工。</w:t>
            </w:r>
          </w:p>
          <w:p>
            <w:pPr>
              <w:pStyle w:val="20"/>
              <w:spacing w:after="312" w:line="240" w:lineRule="auto"/>
              <w:ind w:firstLine="456" w:firstLineChars="190"/>
              <w:jc w:val="both"/>
              <w:rPr>
                <w:rStyle w:val="11"/>
                <w:rFonts w:ascii="仿宋" w:hAnsi="仿宋" w:eastAsia="仿宋"/>
                <w:sz w:val="24"/>
                <w:szCs w:val="24"/>
                <w:u w:val="single"/>
                <w:lang w:eastAsia="zh-CN"/>
              </w:rPr>
            </w:pPr>
            <w:r>
              <w:rPr>
                <w:rStyle w:val="11"/>
                <w:rFonts w:ascii="仿宋" w:hAnsi="仿宋" w:eastAsia="仿宋"/>
                <w:sz w:val="24"/>
                <w:szCs w:val="24"/>
                <w:lang w:eastAsia="zh-CN"/>
              </w:rPr>
              <w:t>2.同意本人文稿上网及其他新媒体。</w:t>
            </w:r>
          </w:p>
          <w:p>
            <w:pPr>
              <w:pStyle w:val="20"/>
              <w:spacing w:after="312" w:line="240" w:lineRule="auto"/>
              <w:ind w:firstLine="456" w:firstLineChars="190"/>
              <w:jc w:val="both"/>
              <w:rPr>
                <w:rStyle w:val="11"/>
                <w:rFonts w:ascii="仿宋" w:hAnsi="仿宋" w:eastAsia="仿宋"/>
                <w:sz w:val="24"/>
                <w:szCs w:val="24"/>
                <w:lang w:eastAsia="zh-CN"/>
              </w:rPr>
            </w:pPr>
            <w:r>
              <w:rPr>
                <w:rStyle w:val="11"/>
                <w:rFonts w:ascii="仿宋" w:hAnsi="仿宋" w:eastAsia="仿宋"/>
                <w:sz w:val="24"/>
                <w:szCs w:val="24"/>
                <w:lang w:eastAsia="zh-CN"/>
              </w:rPr>
              <w:t xml:space="preserve">                         </w:t>
            </w:r>
          </w:p>
          <w:p>
            <w:pPr>
              <w:pStyle w:val="20"/>
              <w:spacing w:after="312" w:line="240" w:lineRule="auto"/>
              <w:ind w:firstLine="5160" w:firstLineChars="2150"/>
              <w:jc w:val="both"/>
              <w:rPr>
                <w:rStyle w:val="11"/>
                <w:rFonts w:ascii="仿宋" w:hAnsi="仿宋" w:eastAsia="仿宋"/>
                <w:sz w:val="24"/>
                <w:szCs w:val="24"/>
                <w:lang w:eastAsia="zh-CN"/>
              </w:rPr>
            </w:pPr>
            <w:r>
              <w:rPr>
                <w:rStyle w:val="11"/>
                <w:rFonts w:ascii="仿宋" w:hAnsi="仿宋" w:eastAsia="仿宋"/>
                <w:sz w:val="24"/>
                <w:szCs w:val="24"/>
                <w:lang w:eastAsia="zh-CN"/>
              </w:rPr>
              <w:t xml:space="preserve"> 作者签字：</w:t>
            </w:r>
          </w:p>
          <w:p>
            <w:pPr>
              <w:pStyle w:val="20"/>
              <w:spacing w:after="0" w:line="240" w:lineRule="auto"/>
              <w:ind w:firstLine="480" w:firstLineChars="200"/>
              <w:rPr>
                <w:rStyle w:val="11"/>
                <w:rFonts w:ascii="仿宋" w:hAnsi="仿宋" w:eastAsia="仿宋"/>
                <w:sz w:val="24"/>
                <w:szCs w:val="24"/>
                <w:lang w:eastAsia="zh-CN"/>
              </w:rPr>
            </w:pPr>
            <w:r>
              <w:rPr>
                <w:rStyle w:val="11"/>
                <w:rFonts w:ascii="仿宋" w:hAnsi="仿宋" w:eastAsia="仿宋"/>
                <w:sz w:val="24"/>
                <w:szCs w:val="24"/>
                <w:lang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890" w:hRule="atLeast"/>
          <w:jc w:val="center"/>
        </w:trPr>
        <w:tc>
          <w:tcPr>
            <w:tcW w:w="8465" w:type="dxa"/>
            <w:gridSpan w:val="11"/>
            <w:tcBorders>
              <w:top w:val="single" w:color="000000" w:sz="4" w:space="0"/>
              <w:left w:val="single" w:color="000000" w:sz="4" w:space="0"/>
              <w:bottom w:val="single" w:color="000000" w:sz="4" w:space="0"/>
              <w:right w:val="single" w:color="000000" w:sz="4" w:space="0"/>
            </w:tcBorders>
            <w:vAlign w:val="center"/>
          </w:tcPr>
          <w:p>
            <w:pPr>
              <w:pStyle w:val="20"/>
              <w:spacing w:after="0" w:line="240" w:lineRule="auto"/>
              <w:ind w:firstLine="98" w:firstLineChars="41"/>
              <w:jc w:val="both"/>
              <w:rPr>
                <w:rStyle w:val="11"/>
                <w:rFonts w:ascii="仿宋" w:hAnsi="仿宋" w:eastAsia="仿宋"/>
                <w:sz w:val="24"/>
                <w:szCs w:val="24"/>
                <w:lang w:eastAsia="zh-CN"/>
              </w:rPr>
            </w:pPr>
            <w:r>
              <w:rPr>
                <w:rStyle w:val="11"/>
                <w:rFonts w:ascii="仿宋" w:hAnsi="仿宋" w:eastAsia="仿宋"/>
                <w:sz w:val="24"/>
                <w:szCs w:val="24"/>
                <w:lang w:eastAsia="zh-CN"/>
              </w:rPr>
              <w:t>论文内容摘要（600字左右，5号字）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4768" w:hRule="atLeast"/>
          <w:jc w:val="center"/>
        </w:trPr>
        <w:tc>
          <w:tcPr>
            <w:tcW w:w="8465" w:type="dxa"/>
            <w:gridSpan w:val="11"/>
            <w:tcBorders>
              <w:top w:val="single" w:color="000000" w:sz="4" w:space="0"/>
              <w:left w:val="single" w:color="000000" w:sz="4" w:space="0"/>
              <w:bottom w:val="single" w:color="000000" w:sz="4" w:space="0"/>
              <w:right w:val="single" w:color="000000" w:sz="4" w:space="0"/>
            </w:tcBorders>
          </w:tcPr>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98" w:firstLineChars="41"/>
              <w:jc w:val="both"/>
              <w:rPr>
                <w:rStyle w:val="11"/>
                <w:rFonts w:ascii="仿宋" w:hAnsi="仿宋" w:eastAsia="仿宋"/>
                <w:sz w:val="24"/>
                <w:szCs w:val="24"/>
                <w:lang w:eastAsia="zh-CN"/>
              </w:rPr>
            </w:pPr>
          </w:p>
          <w:p>
            <w:pPr>
              <w:pStyle w:val="20"/>
              <w:spacing w:after="312" w:line="240" w:lineRule="auto"/>
              <w:ind w:firstLineChars="0"/>
              <w:jc w:val="both"/>
              <w:rPr>
                <w:rStyle w:val="11"/>
                <w:rFonts w:ascii="仿宋" w:hAnsi="仿宋" w:eastAsia="仿宋"/>
                <w:sz w:val="24"/>
                <w:szCs w:val="24"/>
                <w:lang w:eastAsia="zh-CN"/>
              </w:rPr>
            </w:pPr>
            <w:r>
              <w:rPr>
                <w:rStyle w:val="11"/>
                <w:rFonts w:ascii="仿宋" w:hAnsi="仿宋" w:eastAsia="仿宋"/>
                <w:sz w:val="24"/>
                <w:szCs w:val="24"/>
                <w:lang w:eastAsia="zh-CN"/>
              </w:rPr>
              <w:t xml:space="preserve"> </w:t>
            </w:r>
          </w:p>
          <w:p>
            <w:pPr>
              <w:pStyle w:val="20"/>
              <w:spacing w:after="0" w:line="240" w:lineRule="auto"/>
              <w:ind w:firstLineChars="0"/>
              <w:jc w:val="both"/>
              <w:rPr>
                <w:rStyle w:val="11"/>
                <w:rFonts w:ascii="仿宋" w:hAnsi="仿宋" w:eastAsia="仿宋"/>
                <w:sz w:val="24"/>
                <w:szCs w:val="24"/>
                <w:lang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213" w:hRule="atLeast"/>
          <w:jc w:val="center"/>
        </w:trPr>
        <w:tc>
          <w:tcPr>
            <w:tcW w:w="8465" w:type="dxa"/>
            <w:gridSpan w:val="11"/>
            <w:tcBorders>
              <w:top w:val="single" w:color="000000" w:sz="4" w:space="0"/>
              <w:left w:val="single" w:color="000000" w:sz="4" w:space="0"/>
              <w:bottom w:val="single" w:color="000000" w:sz="4" w:space="0"/>
              <w:right w:val="single" w:color="000000" w:sz="4" w:space="0"/>
            </w:tcBorders>
          </w:tcPr>
          <w:p>
            <w:pPr>
              <w:pStyle w:val="20"/>
              <w:spacing w:after="0" w:line="240" w:lineRule="auto"/>
              <w:ind w:firstLine="98" w:firstLineChars="41"/>
              <w:jc w:val="both"/>
              <w:rPr>
                <w:rStyle w:val="11"/>
                <w:rFonts w:ascii="仿宋" w:hAnsi="仿宋" w:eastAsia="仿宋"/>
                <w:sz w:val="24"/>
                <w:szCs w:val="24"/>
                <w:lang w:eastAsia="zh-CN"/>
              </w:rPr>
            </w:pPr>
            <w:r>
              <w:rPr>
                <w:rStyle w:val="11"/>
                <w:rFonts w:ascii="仿宋" w:hAnsi="仿宋" w:eastAsia="仿宋"/>
                <w:sz w:val="24"/>
                <w:szCs w:val="24"/>
                <w:lang w:eastAsia="zh-CN"/>
              </w:rPr>
              <w:t>关键词：（3-6个，5号字）</w:t>
            </w:r>
          </w:p>
        </w:tc>
      </w:tr>
    </w:tbl>
    <w:p>
      <w:pPr>
        <w:pStyle w:val="31"/>
        <w:spacing w:before="156" w:line="360" w:lineRule="auto"/>
        <w:ind w:firstLineChars="0"/>
        <w:rPr>
          <w:rStyle w:val="11"/>
          <w:rFonts w:ascii="黑体" w:hAnsi="黑体" w:eastAsia="黑体"/>
          <w:b/>
          <w:color w:val="000000"/>
          <w:kern w:val="0"/>
          <w:sz w:val="28"/>
          <w:szCs w:val="28"/>
        </w:rPr>
      </w:pPr>
    </w:p>
    <w:p>
      <w:pPr>
        <w:pStyle w:val="31"/>
        <w:spacing w:before="156" w:line="360" w:lineRule="auto"/>
        <w:ind w:firstLineChars="0"/>
        <w:rPr>
          <w:rStyle w:val="11"/>
          <w:rFonts w:ascii="黑体" w:hAnsi="黑体" w:eastAsia="黑体"/>
          <w:color w:val="000000"/>
          <w:sz w:val="27"/>
          <w:szCs w:val="27"/>
        </w:rPr>
      </w:pPr>
      <w:r>
        <w:rPr>
          <w:rStyle w:val="11"/>
          <w:rFonts w:ascii="黑体" w:hAnsi="黑体" w:eastAsia="黑体"/>
          <w:b/>
          <w:color w:val="000000"/>
          <w:kern w:val="0"/>
          <w:sz w:val="28"/>
          <w:szCs w:val="28"/>
        </w:rPr>
        <w:br w:type="page"/>
      </w:r>
      <w:r>
        <w:rPr>
          <w:rStyle w:val="11"/>
          <w:rFonts w:ascii="黑体" w:hAnsi="黑体" w:eastAsia="黑体"/>
          <w:b/>
          <w:color w:val="000000"/>
          <w:kern w:val="0"/>
          <w:sz w:val="28"/>
          <w:szCs w:val="28"/>
        </w:rPr>
        <w:t>附件3：</w:t>
      </w:r>
    </w:p>
    <w:p>
      <w:pPr>
        <w:ind w:right="21"/>
        <w:jc w:val="center"/>
        <w:rPr>
          <w:rStyle w:val="11"/>
          <w:rFonts w:ascii="仿宋" w:hAnsi="仿宋" w:eastAsia="仿宋"/>
          <w:b/>
          <w:color w:val="000000"/>
          <w:kern w:val="0"/>
          <w:sz w:val="24"/>
          <w:szCs w:val="24"/>
        </w:rPr>
      </w:pPr>
      <w:r>
        <w:rPr>
          <w:rStyle w:val="11"/>
          <w:rFonts w:hint="eastAsia" w:ascii="仿宋" w:hAnsi="仿宋" w:eastAsia="仿宋"/>
          <w:b/>
          <w:color w:val="000000"/>
          <w:kern w:val="0"/>
          <w:sz w:val="24"/>
          <w:szCs w:val="24"/>
        </w:rPr>
        <w:t>全国高等职业院校创新创业教育联盟2023年年会论文汇总表</w:t>
      </w:r>
      <w:r>
        <w:rPr>
          <w:rStyle w:val="11"/>
          <w:rFonts w:ascii="仿宋" w:hAnsi="仿宋" w:eastAsia="仿宋"/>
          <w:b/>
          <w:color w:val="000000"/>
          <w:kern w:val="0"/>
          <w:sz w:val="24"/>
          <w:szCs w:val="24"/>
        </w:rPr>
        <w:t>（单位推荐使用）</w:t>
      </w:r>
    </w:p>
    <w:p>
      <w:pPr>
        <w:ind w:right="21"/>
        <w:jc w:val="center"/>
        <w:rPr>
          <w:rStyle w:val="11"/>
          <w:rFonts w:ascii="仿宋" w:hAnsi="仿宋" w:eastAsia="仿宋"/>
          <w:b/>
          <w:color w:val="000000"/>
          <w:kern w:val="0"/>
          <w:sz w:val="24"/>
          <w:szCs w:val="24"/>
        </w:rPr>
      </w:pPr>
    </w:p>
    <w:tbl>
      <w:tblPr>
        <w:tblStyle w:val="8"/>
        <w:tblpPr w:leftFromText="180" w:rightFromText="180" w:vertAnchor="text" w:horzAnchor="page" w:tblpX="738" w:tblpY="446"/>
        <w:tblW w:w="10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483"/>
        <w:gridCol w:w="1837"/>
        <w:gridCol w:w="1495"/>
        <w:gridCol w:w="1218"/>
        <w:gridCol w:w="1618"/>
        <w:gridCol w:w="1062"/>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25"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序号</w:t>
            </w:r>
          </w:p>
        </w:tc>
        <w:tc>
          <w:tcPr>
            <w:tcW w:w="1483" w:type="dxa"/>
            <w:tcBorders>
              <w:top w:val="single" w:color="000000" w:sz="4" w:space="0"/>
              <w:left w:val="single" w:color="000000" w:sz="4" w:space="0"/>
              <w:bottom w:val="single" w:color="000000" w:sz="4" w:space="0"/>
              <w:right w:val="single" w:color="000000" w:sz="4" w:space="0"/>
            </w:tcBorders>
          </w:tcPr>
          <w:p>
            <w:pPr>
              <w:ind w:right="21"/>
              <w:jc w:val="center"/>
              <w:rPr>
                <w:rStyle w:val="11"/>
                <w:rFonts w:hint="default" w:ascii="仿宋" w:hAnsi="仿宋" w:eastAsia="仿宋" w:cs="楷体"/>
                <w:b/>
                <w:bCs/>
                <w:color w:val="000000"/>
                <w:kern w:val="0"/>
                <w:sz w:val="24"/>
                <w:szCs w:val="24"/>
                <w:lang w:val="en-US" w:eastAsia="zh-CN"/>
              </w:rPr>
            </w:pPr>
            <w:r>
              <w:rPr>
                <w:rStyle w:val="11"/>
                <w:rFonts w:hint="eastAsia" w:ascii="仿宋" w:hAnsi="仿宋" w:eastAsia="仿宋" w:cs="楷体"/>
                <w:b/>
                <w:bCs/>
                <w:color w:val="000000"/>
                <w:kern w:val="0"/>
                <w:sz w:val="24"/>
                <w:szCs w:val="24"/>
                <w:lang w:val="en-US" w:eastAsia="zh-CN"/>
              </w:rPr>
              <w:t>推荐单位</w:t>
            </w:r>
          </w:p>
        </w:tc>
        <w:tc>
          <w:tcPr>
            <w:tcW w:w="1837"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论文题目</w:t>
            </w:r>
          </w:p>
        </w:tc>
        <w:tc>
          <w:tcPr>
            <w:tcW w:w="1495"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作者姓名</w:t>
            </w:r>
          </w:p>
        </w:tc>
        <w:tc>
          <w:tcPr>
            <w:tcW w:w="1218"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单位、职务、职称</w:t>
            </w:r>
          </w:p>
        </w:tc>
        <w:tc>
          <w:tcPr>
            <w:tcW w:w="1618"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手机号</w:t>
            </w:r>
          </w:p>
        </w:tc>
        <w:tc>
          <w:tcPr>
            <w:tcW w:w="1062"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邮箱</w:t>
            </w:r>
          </w:p>
        </w:tc>
        <w:tc>
          <w:tcPr>
            <w:tcW w:w="1197" w:type="dxa"/>
            <w:tcBorders>
              <w:top w:val="single" w:color="000000" w:sz="4" w:space="0"/>
              <w:left w:val="single" w:color="000000" w:sz="4" w:space="0"/>
              <w:bottom w:val="single" w:color="000000" w:sz="4" w:space="0"/>
              <w:right w:val="single" w:color="000000" w:sz="4" w:space="0"/>
            </w:tcBorders>
          </w:tcPr>
          <w:p>
            <w:pPr>
              <w:ind w:right="21"/>
              <w:jc w:val="center"/>
              <w:rPr>
                <w:rStyle w:val="11"/>
                <w:rFonts w:ascii="仿宋" w:hAnsi="仿宋" w:eastAsia="仿宋" w:cs="楷体"/>
                <w:b/>
                <w:bCs/>
                <w:color w:val="000000"/>
                <w:kern w:val="0"/>
                <w:sz w:val="24"/>
                <w:szCs w:val="24"/>
              </w:rPr>
            </w:pPr>
            <w:r>
              <w:rPr>
                <w:rStyle w:val="11"/>
                <w:rFonts w:ascii="仿宋" w:hAnsi="仿宋" w:eastAsia="仿宋" w:cs="楷体"/>
                <w:b/>
                <w:bCs/>
                <w:color w:val="000000"/>
                <w:kern w:val="0"/>
                <w:sz w:val="24"/>
                <w:szCs w:val="24"/>
              </w:rPr>
              <w:t>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2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83"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83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9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2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6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062"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19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2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83"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83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9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2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6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062"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19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2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83"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83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495"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2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618"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062"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c>
          <w:tcPr>
            <w:tcW w:w="1197" w:type="dxa"/>
            <w:tcBorders>
              <w:top w:val="single" w:color="000000" w:sz="4" w:space="0"/>
              <w:left w:val="single" w:color="000000" w:sz="4" w:space="0"/>
              <w:bottom w:val="single" w:color="000000" w:sz="4" w:space="0"/>
              <w:right w:val="single" w:color="000000" w:sz="4" w:space="0"/>
            </w:tcBorders>
          </w:tcPr>
          <w:p>
            <w:pPr>
              <w:ind w:right="21"/>
              <w:rPr>
                <w:rStyle w:val="11"/>
                <w:rFonts w:ascii="仿宋" w:hAnsi="仿宋" w:eastAsia="仿宋" w:cs="楷体"/>
                <w:bCs/>
                <w:color w:val="000000"/>
                <w:kern w:val="0"/>
                <w:sz w:val="24"/>
                <w:szCs w:val="24"/>
              </w:rPr>
            </w:pPr>
          </w:p>
        </w:tc>
      </w:tr>
    </w:tbl>
    <w:p>
      <w:pPr>
        <w:ind w:right="21"/>
        <w:rPr>
          <w:rStyle w:val="11"/>
          <w:rFonts w:ascii="仿宋" w:hAnsi="仿宋" w:eastAsia="仿宋" w:cs="楷体"/>
          <w:bCs/>
          <w:color w:val="000000"/>
          <w:kern w:val="0"/>
          <w:sz w:val="24"/>
          <w:szCs w:val="24"/>
        </w:rPr>
      </w:pPr>
      <w:r>
        <w:rPr>
          <w:rStyle w:val="11"/>
          <w:rFonts w:ascii="仿宋" w:hAnsi="仿宋" w:eastAsia="仿宋" w:cs="楷体"/>
          <w:bCs/>
          <w:color w:val="000000"/>
          <w:kern w:val="0"/>
          <w:sz w:val="24"/>
          <w:szCs w:val="24"/>
        </w:rPr>
        <w:t>单位（盖章）：</w:t>
      </w:r>
    </w:p>
    <w:p>
      <w:pPr>
        <w:ind w:right="21"/>
        <w:rPr>
          <w:rStyle w:val="11"/>
          <w:rFonts w:ascii="仿宋" w:hAnsi="仿宋" w:eastAsia="仿宋" w:cs="楷体"/>
          <w:bCs/>
          <w:color w:val="000000"/>
          <w:kern w:val="0"/>
          <w:sz w:val="24"/>
          <w:szCs w:val="24"/>
        </w:rPr>
      </w:pPr>
    </w:p>
    <w:p>
      <w:pPr>
        <w:ind w:right="21"/>
        <w:rPr>
          <w:rStyle w:val="11"/>
          <w:rFonts w:ascii="仿宋" w:hAnsi="仿宋" w:eastAsia="仿宋" w:cs="楷体"/>
          <w:bCs/>
          <w:color w:val="000000"/>
          <w:kern w:val="0"/>
          <w:sz w:val="24"/>
          <w:szCs w:val="24"/>
        </w:rPr>
      </w:pPr>
      <w:r>
        <w:rPr>
          <w:rStyle w:val="11"/>
          <w:rFonts w:ascii="仿宋" w:hAnsi="仿宋" w:eastAsia="仿宋" w:cs="楷体"/>
          <w:bCs/>
          <w:color w:val="000000"/>
          <w:kern w:val="0"/>
          <w:sz w:val="24"/>
          <w:szCs w:val="24"/>
        </w:rPr>
        <w:t xml:space="preserve">报送单位联系人：                      </w:t>
      </w:r>
    </w:p>
    <w:p>
      <w:pPr>
        <w:ind w:right="21"/>
        <w:rPr>
          <w:rStyle w:val="11"/>
          <w:rFonts w:ascii="仿宋" w:hAnsi="仿宋" w:eastAsia="仿宋" w:cs="楷体"/>
          <w:bCs/>
          <w:color w:val="000000"/>
          <w:kern w:val="0"/>
          <w:sz w:val="24"/>
          <w:szCs w:val="24"/>
        </w:rPr>
      </w:pPr>
      <w:r>
        <w:rPr>
          <w:rStyle w:val="11"/>
          <w:rFonts w:ascii="仿宋" w:hAnsi="仿宋" w:eastAsia="仿宋" w:cs="楷体"/>
          <w:bCs/>
          <w:color w:val="000000"/>
          <w:kern w:val="0"/>
          <w:sz w:val="24"/>
          <w:szCs w:val="24"/>
        </w:rPr>
        <w:t>电话：</w:t>
      </w:r>
    </w:p>
    <w:p>
      <w:pPr>
        <w:ind w:right="21"/>
        <w:rPr>
          <w:rStyle w:val="11"/>
          <w:rFonts w:ascii="仿宋" w:hAnsi="仿宋" w:eastAsia="仿宋" w:cs="楷体"/>
          <w:bCs/>
          <w:color w:val="000000"/>
          <w:kern w:val="0"/>
          <w:sz w:val="24"/>
          <w:szCs w:val="24"/>
        </w:rPr>
      </w:pPr>
    </w:p>
    <w:p>
      <w:pPr>
        <w:ind w:right="21"/>
        <w:rPr>
          <w:rStyle w:val="11"/>
          <w:rFonts w:ascii="仿宋" w:hAnsi="仿宋" w:eastAsia="仿宋" w:cs="楷体"/>
          <w:bCs/>
          <w:color w:val="000000"/>
          <w:kern w:val="0"/>
          <w:sz w:val="24"/>
          <w:szCs w:val="24"/>
        </w:rPr>
      </w:pPr>
    </w:p>
    <w:p>
      <w:pPr>
        <w:ind w:right="21"/>
        <w:rPr>
          <w:rStyle w:val="11"/>
          <w:rFonts w:ascii="仿宋" w:hAnsi="仿宋" w:eastAsia="仿宋" w:cs="楷体"/>
          <w:bCs/>
          <w:color w:val="000000"/>
          <w:kern w:val="0"/>
          <w:sz w:val="24"/>
          <w:szCs w:val="24"/>
        </w:rPr>
      </w:pPr>
    </w:p>
    <w:p>
      <w:pPr>
        <w:ind w:right="21"/>
        <w:rPr>
          <w:rStyle w:val="11"/>
          <w:rFonts w:ascii="仿宋" w:hAnsi="仿宋" w:eastAsia="仿宋"/>
          <w:sz w:val="24"/>
          <w:szCs w:val="24"/>
        </w:rPr>
      </w:pPr>
      <w:r>
        <w:rPr>
          <w:rStyle w:val="11"/>
          <w:rFonts w:ascii="仿宋" w:hAnsi="仿宋" w:eastAsia="仿宋" w:cs="楷体"/>
          <w:bCs/>
          <w:color w:val="000000"/>
          <w:kern w:val="0"/>
          <w:sz w:val="24"/>
          <w:szCs w:val="24"/>
        </w:rPr>
        <w:t>【注意事项】请</w:t>
      </w:r>
      <w:r>
        <w:rPr>
          <w:rStyle w:val="11"/>
          <w:rFonts w:ascii="仿宋" w:hAnsi="仿宋" w:eastAsia="仿宋" w:cs="楷体"/>
          <w:bCs/>
          <w:color w:val="000000"/>
          <w:kern w:val="0"/>
          <w:sz w:val="24"/>
          <w:szCs w:val="24"/>
          <w:highlight w:val="none"/>
        </w:rPr>
        <w:t>于202</w:t>
      </w:r>
      <w:r>
        <w:rPr>
          <w:rStyle w:val="11"/>
          <w:rFonts w:hint="eastAsia" w:ascii="仿宋" w:hAnsi="仿宋" w:eastAsia="仿宋" w:cs="楷体"/>
          <w:bCs/>
          <w:color w:val="000000"/>
          <w:kern w:val="0"/>
          <w:sz w:val="24"/>
          <w:szCs w:val="24"/>
          <w:highlight w:val="none"/>
          <w:lang w:val="en-US" w:eastAsia="zh-CN"/>
        </w:rPr>
        <w:t>3</w:t>
      </w:r>
      <w:r>
        <w:rPr>
          <w:rStyle w:val="11"/>
          <w:rFonts w:ascii="仿宋" w:hAnsi="仿宋" w:eastAsia="仿宋" w:cs="楷体"/>
          <w:bCs/>
          <w:color w:val="000000"/>
          <w:kern w:val="0"/>
          <w:sz w:val="24"/>
          <w:szCs w:val="24"/>
          <w:highlight w:val="none"/>
        </w:rPr>
        <w:t>年</w:t>
      </w:r>
      <w:r>
        <w:rPr>
          <w:rStyle w:val="11"/>
          <w:rFonts w:hint="eastAsia" w:ascii="仿宋" w:hAnsi="仿宋" w:eastAsia="仿宋" w:cs="楷体"/>
          <w:bCs/>
          <w:color w:val="000000"/>
          <w:kern w:val="0"/>
          <w:sz w:val="24"/>
          <w:szCs w:val="24"/>
          <w:highlight w:val="none"/>
          <w:lang w:val="en-US" w:eastAsia="zh-CN"/>
        </w:rPr>
        <w:t>10</w:t>
      </w:r>
      <w:r>
        <w:rPr>
          <w:rStyle w:val="11"/>
          <w:rFonts w:ascii="仿宋" w:hAnsi="仿宋" w:eastAsia="仿宋" w:cs="楷体"/>
          <w:bCs/>
          <w:color w:val="000000"/>
          <w:kern w:val="0"/>
          <w:sz w:val="24"/>
          <w:szCs w:val="24"/>
          <w:highlight w:val="none"/>
        </w:rPr>
        <w:t>月</w:t>
      </w:r>
      <w:r>
        <w:rPr>
          <w:rStyle w:val="11"/>
          <w:rFonts w:hint="eastAsia" w:ascii="仿宋" w:hAnsi="仿宋" w:eastAsia="仿宋" w:cs="楷体"/>
          <w:bCs/>
          <w:color w:val="000000"/>
          <w:kern w:val="0"/>
          <w:sz w:val="24"/>
          <w:szCs w:val="24"/>
          <w:highlight w:val="none"/>
          <w:lang w:val="en-US" w:eastAsia="zh-CN"/>
        </w:rPr>
        <w:t>30</w:t>
      </w:r>
      <w:r>
        <w:rPr>
          <w:rStyle w:val="11"/>
          <w:rFonts w:ascii="仿宋" w:hAnsi="仿宋" w:eastAsia="仿宋" w:cs="楷体"/>
          <w:bCs/>
          <w:color w:val="000000"/>
          <w:kern w:val="0"/>
          <w:sz w:val="24"/>
          <w:szCs w:val="24"/>
          <w:highlight w:val="none"/>
        </w:rPr>
        <w:t>日前将</w:t>
      </w:r>
      <w:r>
        <w:rPr>
          <w:rStyle w:val="11"/>
          <w:rFonts w:ascii="仿宋" w:hAnsi="仿宋" w:eastAsia="仿宋" w:cs="楷体"/>
          <w:bCs/>
          <w:color w:val="000000"/>
          <w:kern w:val="0"/>
          <w:sz w:val="24"/>
          <w:szCs w:val="24"/>
        </w:rPr>
        <w:t>汇总表</w:t>
      </w:r>
      <w:r>
        <w:rPr>
          <w:rStyle w:val="11"/>
          <w:rFonts w:hint="eastAsia" w:ascii="仿宋" w:hAnsi="仿宋" w:eastAsia="仿宋" w:cs="楷体"/>
          <w:bCs/>
          <w:color w:val="000000"/>
          <w:kern w:val="0"/>
          <w:sz w:val="24"/>
          <w:szCs w:val="24"/>
          <w:lang w:eastAsia="zh-CN"/>
        </w:rPr>
        <w:t>（</w:t>
      </w:r>
      <w:r>
        <w:rPr>
          <w:rStyle w:val="11"/>
          <w:rFonts w:hint="eastAsia" w:ascii="仿宋" w:hAnsi="仿宋" w:eastAsia="仿宋" w:cs="楷体"/>
          <w:bCs/>
          <w:color w:val="000000"/>
          <w:kern w:val="0"/>
          <w:sz w:val="24"/>
          <w:szCs w:val="24"/>
          <w:lang w:val="en-US" w:eastAsia="zh-CN"/>
        </w:rPr>
        <w:t>word及PDF盖章版</w:t>
      </w:r>
      <w:r>
        <w:rPr>
          <w:rStyle w:val="11"/>
          <w:rFonts w:hint="eastAsia" w:ascii="仿宋" w:hAnsi="仿宋" w:eastAsia="仿宋" w:cs="楷体"/>
          <w:bCs/>
          <w:color w:val="000000"/>
          <w:kern w:val="0"/>
          <w:sz w:val="24"/>
          <w:szCs w:val="24"/>
          <w:lang w:eastAsia="zh-CN"/>
        </w:rPr>
        <w:t>）</w:t>
      </w:r>
      <w:r>
        <w:rPr>
          <w:rStyle w:val="11"/>
          <w:rFonts w:ascii="仿宋" w:hAnsi="仿宋" w:eastAsia="仿宋" w:cs="楷体"/>
          <w:bCs/>
          <w:color w:val="000000"/>
          <w:kern w:val="0"/>
          <w:sz w:val="24"/>
          <w:szCs w:val="24"/>
        </w:rPr>
        <w:t>发送电子邮件至</w:t>
      </w:r>
      <w:r>
        <w:rPr>
          <w:rStyle w:val="11"/>
          <w:rFonts w:hint="eastAsia" w:ascii="仿宋" w:hAnsi="仿宋" w:eastAsia="仿宋" w:cs="楷体"/>
          <w:bCs/>
          <w:color w:val="000000"/>
          <w:kern w:val="0"/>
          <w:sz w:val="24"/>
          <w:szCs w:val="24"/>
        </w:rPr>
        <w:t>ieeac-hvc@niit.edu.cn</w:t>
      </w:r>
      <w:r>
        <w:rPr>
          <w:rStyle w:val="11"/>
          <w:rFonts w:ascii="仿宋" w:hAnsi="仿宋" w:eastAsia="仿宋" w:cs="楷体"/>
          <w:bCs/>
          <w:color w:val="000000"/>
          <w:kern w:val="0"/>
          <w:sz w:val="24"/>
          <w:szCs w:val="24"/>
        </w:rPr>
        <w:t>,命名为“202</w:t>
      </w:r>
      <w:r>
        <w:rPr>
          <w:rStyle w:val="11"/>
          <w:rFonts w:hint="eastAsia" w:ascii="仿宋" w:hAnsi="仿宋" w:eastAsia="仿宋" w:cs="楷体"/>
          <w:bCs/>
          <w:color w:val="000000"/>
          <w:kern w:val="0"/>
          <w:sz w:val="24"/>
          <w:szCs w:val="24"/>
          <w:lang w:val="en-US" w:eastAsia="zh-CN"/>
        </w:rPr>
        <w:t>3</w:t>
      </w:r>
      <w:r>
        <w:rPr>
          <w:rStyle w:val="11"/>
          <w:rFonts w:ascii="仿宋" w:hAnsi="仿宋" w:eastAsia="仿宋" w:cs="楷体"/>
          <w:bCs/>
          <w:color w:val="000000"/>
          <w:kern w:val="0"/>
          <w:sz w:val="24"/>
          <w:szCs w:val="24"/>
        </w:rPr>
        <w:t>年会论文投稿+单位名”</w:t>
      </w:r>
    </w:p>
    <w:p>
      <w:pPr>
        <w:pStyle w:val="24"/>
        <w:rPr>
          <w:rStyle w:val="11"/>
          <w:rFonts w:ascii="仿宋" w:hAnsi="仿宋" w:eastAsia="仿宋"/>
          <w:sz w:val="30"/>
          <w:szCs w:val="30"/>
        </w:rPr>
      </w:pPr>
      <w:bookmarkStart w:id="0" w:name="_GoBack"/>
      <w:bookmarkEnd w:id="0"/>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center" w:y="1"/>
      <w:rPr>
        <w:rStyle w:val="18"/>
      </w:rPr>
    </w:pPr>
  </w:p>
  <w:p>
    <w:pPr>
      <w:pStyle w:val="5"/>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000000" w:sz="6" w:space="2"/>
      </w:pBdr>
      <w:jc w:val="both"/>
      <w:rPr>
        <w:rStyle w:val="11"/>
        <w:sz w:val="36"/>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kYzhjNjAxMzI0Yzk5NmYzNWFmNDMyZmE4NGM2ZWIifQ=="/>
  </w:docVars>
  <w:rsids>
    <w:rsidRoot w:val="0081710D"/>
    <w:rsid w:val="00035A0D"/>
    <w:rsid w:val="001E093A"/>
    <w:rsid w:val="002A0093"/>
    <w:rsid w:val="002E706A"/>
    <w:rsid w:val="003633A0"/>
    <w:rsid w:val="004632DC"/>
    <w:rsid w:val="005D73C4"/>
    <w:rsid w:val="0064748E"/>
    <w:rsid w:val="006C4193"/>
    <w:rsid w:val="00764214"/>
    <w:rsid w:val="007E46AC"/>
    <w:rsid w:val="0081710D"/>
    <w:rsid w:val="00884127"/>
    <w:rsid w:val="00AA113F"/>
    <w:rsid w:val="00B06BBE"/>
    <w:rsid w:val="00B86BB4"/>
    <w:rsid w:val="00CD14A0"/>
    <w:rsid w:val="00DC298F"/>
    <w:rsid w:val="00E6517B"/>
    <w:rsid w:val="00EB0CB6"/>
    <w:rsid w:val="00EF49E8"/>
    <w:rsid w:val="00F37E06"/>
    <w:rsid w:val="00FA3C12"/>
    <w:rsid w:val="00FC52A5"/>
    <w:rsid w:val="068C09F8"/>
    <w:rsid w:val="0836494E"/>
    <w:rsid w:val="0F5117D6"/>
    <w:rsid w:val="11F052D6"/>
    <w:rsid w:val="1323160E"/>
    <w:rsid w:val="13257877"/>
    <w:rsid w:val="162C3A84"/>
    <w:rsid w:val="16D55F3B"/>
    <w:rsid w:val="1DD737EE"/>
    <w:rsid w:val="1E1B192D"/>
    <w:rsid w:val="225549DB"/>
    <w:rsid w:val="22806203"/>
    <w:rsid w:val="283B0D56"/>
    <w:rsid w:val="28F45255"/>
    <w:rsid w:val="2ABB664D"/>
    <w:rsid w:val="30136218"/>
    <w:rsid w:val="35DB0621"/>
    <w:rsid w:val="47DB5078"/>
    <w:rsid w:val="54F567E2"/>
    <w:rsid w:val="55FD398D"/>
    <w:rsid w:val="5A2E5F69"/>
    <w:rsid w:val="5B42174C"/>
    <w:rsid w:val="5C4A4BB0"/>
    <w:rsid w:val="62161F22"/>
    <w:rsid w:val="62FB30A8"/>
    <w:rsid w:val="66EC6F90"/>
    <w:rsid w:val="7089584F"/>
    <w:rsid w:val="75CA11B6"/>
    <w:rsid w:val="75DA374D"/>
    <w:rsid w:val="7CDC5821"/>
    <w:rsid w:val="7F50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Date"/>
    <w:basedOn w:val="1"/>
    <w:next w:val="1"/>
    <w:link w:val="16"/>
    <w:qFormat/>
    <w:uiPriority w:val="0"/>
    <w:pPr>
      <w:ind w:left="100" w:leftChars="25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30"/>
    <w:qFormat/>
    <w:uiPriority w:val="0"/>
    <w:pPr>
      <w:pBdr>
        <w:bottom w:val="single" w:color="000000"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qFormat/>
    <w:uiPriority w:val="0"/>
    <w:rPr>
      <w:color w:val="1A5E9E"/>
      <w:u w:val="single"/>
    </w:rPr>
  </w:style>
  <w:style w:type="character" w:customStyle="1" w:styleId="11">
    <w:name w:val="NormalCharacter"/>
    <w:qFormat/>
    <w:uiPriority w:val="0"/>
  </w:style>
  <w:style w:type="table" w:customStyle="1" w:styleId="12">
    <w:name w:val="TableNormal"/>
    <w:qFormat/>
    <w:uiPriority w:val="0"/>
    <w:tblPr>
      <w:tblCellMar>
        <w:top w:w="0" w:type="dxa"/>
        <w:left w:w="0" w:type="dxa"/>
        <w:bottom w:w="0" w:type="dxa"/>
        <w:right w:w="0" w:type="dxa"/>
      </w:tblCellMar>
    </w:tblPr>
  </w:style>
  <w:style w:type="character" w:customStyle="1" w:styleId="13">
    <w:name w:val="页脚 字符"/>
    <w:link w:val="5"/>
    <w:semiHidden/>
    <w:qFormat/>
    <w:uiPriority w:val="0"/>
    <w:rPr>
      <w:kern w:val="2"/>
      <w:sz w:val="18"/>
      <w:szCs w:val="18"/>
    </w:rPr>
  </w:style>
  <w:style w:type="character" w:customStyle="1" w:styleId="14">
    <w:name w:val="UserStyle_1"/>
    <w:link w:val="15"/>
    <w:semiHidden/>
    <w:qFormat/>
    <w:uiPriority w:val="0"/>
    <w:rPr>
      <w:kern w:val="2"/>
      <w:sz w:val="18"/>
      <w:szCs w:val="18"/>
    </w:rPr>
  </w:style>
  <w:style w:type="paragraph" w:customStyle="1" w:styleId="15">
    <w:name w:val="Acetate"/>
    <w:basedOn w:val="1"/>
    <w:link w:val="14"/>
    <w:qFormat/>
    <w:uiPriority w:val="0"/>
    <w:rPr>
      <w:sz w:val="18"/>
      <w:szCs w:val="18"/>
    </w:rPr>
  </w:style>
  <w:style w:type="character" w:customStyle="1" w:styleId="16">
    <w:name w:val="日期 字符"/>
    <w:link w:val="4"/>
    <w:semiHidden/>
    <w:qFormat/>
    <w:uiPriority w:val="0"/>
    <w:rPr>
      <w:kern w:val="2"/>
      <w:sz w:val="21"/>
      <w:szCs w:val="22"/>
    </w:rPr>
  </w:style>
  <w:style w:type="character" w:customStyle="1" w:styleId="17">
    <w:name w:val="UserStyle_3"/>
    <w:semiHidden/>
    <w:qFormat/>
    <w:uiPriority w:val="0"/>
    <w:rPr>
      <w:kern w:val="2"/>
      <w:sz w:val="18"/>
      <w:szCs w:val="18"/>
    </w:rPr>
  </w:style>
  <w:style w:type="character" w:customStyle="1" w:styleId="18">
    <w:name w:val="PageNumber"/>
    <w:basedOn w:val="11"/>
    <w:qFormat/>
    <w:uiPriority w:val="0"/>
  </w:style>
  <w:style w:type="character" w:customStyle="1" w:styleId="19">
    <w:name w:val="UserStyle_4"/>
    <w:link w:val="20"/>
    <w:qFormat/>
    <w:uiPriority w:val="0"/>
    <w:rPr>
      <w:rFonts w:ascii="宋体" w:hAnsi="Courier New"/>
      <w:sz w:val="21"/>
      <w:szCs w:val="21"/>
      <w:lang w:eastAsia="en-US"/>
    </w:rPr>
  </w:style>
  <w:style w:type="paragraph" w:customStyle="1" w:styleId="20">
    <w:name w:val="PlainText"/>
    <w:basedOn w:val="1"/>
    <w:link w:val="19"/>
    <w:qFormat/>
    <w:uiPriority w:val="0"/>
    <w:pPr>
      <w:spacing w:after="100" w:afterAutospacing="1" w:line="480" w:lineRule="exact"/>
      <w:ind w:firstLine="100" w:firstLineChars="100"/>
      <w:jc w:val="left"/>
    </w:pPr>
    <w:rPr>
      <w:rFonts w:ascii="宋体" w:hAnsi="Courier New"/>
      <w:kern w:val="0"/>
      <w:szCs w:val="21"/>
      <w:lang w:eastAsia="en-US"/>
    </w:rPr>
  </w:style>
  <w:style w:type="character" w:customStyle="1" w:styleId="21">
    <w:name w:val="AnnotationReference"/>
    <w:semiHidden/>
    <w:qFormat/>
    <w:uiPriority w:val="0"/>
    <w:rPr>
      <w:sz w:val="21"/>
      <w:szCs w:val="21"/>
    </w:rPr>
  </w:style>
  <w:style w:type="character" w:customStyle="1" w:styleId="22">
    <w:name w:val="UserStyle_5"/>
    <w:qFormat/>
    <w:uiPriority w:val="0"/>
    <w:rPr>
      <w:color w:val="000000"/>
    </w:rPr>
  </w:style>
  <w:style w:type="character" w:customStyle="1" w:styleId="23">
    <w:name w:val="UserStyle_6"/>
    <w:link w:val="24"/>
    <w:qFormat/>
    <w:uiPriority w:val="0"/>
    <w:rPr>
      <w:rFonts w:ascii="宋体" w:hAnsi="宋体"/>
      <w:kern w:val="2"/>
      <w:sz w:val="18"/>
      <w:szCs w:val="18"/>
    </w:rPr>
  </w:style>
  <w:style w:type="paragraph" w:customStyle="1" w:styleId="24">
    <w:name w:val="FootnoteText"/>
    <w:basedOn w:val="1"/>
    <w:link w:val="23"/>
    <w:qFormat/>
    <w:uiPriority w:val="0"/>
    <w:pPr>
      <w:snapToGrid w:val="0"/>
      <w:jc w:val="left"/>
    </w:pPr>
    <w:rPr>
      <w:rFonts w:ascii="宋体" w:hAnsi="宋体"/>
      <w:sz w:val="18"/>
      <w:szCs w:val="18"/>
    </w:rPr>
  </w:style>
  <w:style w:type="character" w:customStyle="1" w:styleId="25">
    <w:name w:val="FootnoteReference"/>
    <w:qFormat/>
    <w:uiPriority w:val="0"/>
    <w:rPr>
      <w:vertAlign w:val="superscript"/>
    </w:rPr>
  </w:style>
  <w:style w:type="character" w:customStyle="1" w:styleId="26">
    <w:name w:val="UserStyle_7"/>
    <w:basedOn w:val="11"/>
    <w:qFormat/>
    <w:uiPriority w:val="0"/>
  </w:style>
  <w:style w:type="character" w:customStyle="1" w:styleId="27">
    <w:name w:val="UserStyle_8"/>
    <w:link w:val="28"/>
    <w:semiHidden/>
    <w:qFormat/>
    <w:uiPriority w:val="0"/>
    <w:rPr>
      <w:rFonts w:ascii="Times New Roman" w:hAnsi="Times New Roman"/>
      <w:kern w:val="2"/>
      <w:sz w:val="21"/>
      <w:szCs w:val="24"/>
    </w:rPr>
  </w:style>
  <w:style w:type="paragraph" w:customStyle="1" w:styleId="28">
    <w:name w:val="AnnotationText"/>
    <w:basedOn w:val="1"/>
    <w:link w:val="27"/>
    <w:semiHidden/>
    <w:qFormat/>
    <w:uiPriority w:val="0"/>
    <w:pPr>
      <w:jc w:val="left"/>
    </w:pPr>
    <w:rPr>
      <w:szCs w:val="24"/>
    </w:rPr>
  </w:style>
  <w:style w:type="character" w:customStyle="1" w:styleId="29">
    <w:name w:val="UserStyle_9"/>
    <w:qFormat/>
    <w:uiPriority w:val="0"/>
    <w:rPr>
      <w:b/>
    </w:rPr>
  </w:style>
  <w:style w:type="character" w:customStyle="1" w:styleId="30">
    <w:name w:val="页眉 字符"/>
    <w:link w:val="6"/>
    <w:qFormat/>
    <w:uiPriority w:val="0"/>
    <w:rPr>
      <w:kern w:val="2"/>
      <w:sz w:val="18"/>
      <w:szCs w:val="18"/>
    </w:rPr>
  </w:style>
  <w:style w:type="paragraph" w:customStyle="1" w:styleId="31">
    <w:name w:val="UserStyle_11"/>
    <w:basedOn w:val="1"/>
    <w:qFormat/>
    <w:uiPriority w:val="0"/>
    <w:pPr>
      <w:ind w:firstLine="420" w:firstLineChars="200"/>
    </w:pPr>
    <w:rPr>
      <w:rFonts w:ascii="等线" w:hAnsi="等线" w:eastAsia="等线"/>
    </w:rPr>
  </w:style>
  <w:style w:type="paragraph" w:customStyle="1" w:styleId="32">
    <w:name w:val="AnnotationSubject"/>
    <w:basedOn w:val="28"/>
    <w:next w:val="28"/>
    <w:link w:val="33"/>
    <w:semiHidden/>
    <w:qFormat/>
    <w:uiPriority w:val="0"/>
    <w:rPr>
      <w:szCs w:val="22"/>
    </w:rPr>
  </w:style>
  <w:style w:type="character" w:customStyle="1" w:styleId="33">
    <w:name w:val="UserStyle_12"/>
    <w:link w:val="32"/>
    <w:semiHidden/>
    <w:qFormat/>
    <w:uiPriority w:val="0"/>
    <w:rPr>
      <w:rFonts w:ascii="Times New Roman" w:hAnsi="Times New Roman" w:cs="Times New Roman"/>
      <w:b/>
      <w:bCs/>
      <w:kern w:val="2"/>
      <w:sz w:val="21"/>
      <w:szCs w:val="22"/>
    </w:rPr>
  </w:style>
  <w:style w:type="character" w:customStyle="1" w:styleId="34">
    <w:name w:val="Unresolved Mention"/>
    <w:basedOn w:val="9"/>
    <w:semiHidden/>
    <w:unhideWhenUsed/>
    <w:qFormat/>
    <w:uiPriority w:val="99"/>
    <w:rPr>
      <w:color w:val="605E5C"/>
      <w:shd w:val="clear" w:color="auto" w:fill="E1DFDD"/>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354</Words>
  <Characters>2022</Characters>
  <Lines>16</Lines>
  <Paragraphs>4</Paragraphs>
  <TotalTime>13</TotalTime>
  <ScaleCrop>false</ScaleCrop>
  <LinksUpToDate>false</LinksUpToDate>
  <CharactersWithSpaces>2372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2021-08-28T01:58:00Z</dcterms:created>
  <dc:creator>zhqiu</dc:creator>
  <cp:lastModifiedBy>Xu Hongye</cp:lastModifiedBy>
  <dcterms:modified xsi:type="dcterms:W3CDTF">2023-10-10T08:00:08Z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A4723120FF244B8389401320F6BF5581_13</vt:lpwstr>
  </property>
</Properties>
</file>